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30" w:rsidRPr="00433230" w:rsidRDefault="00433230" w:rsidP="00433230">
      <w:pPr>
        <w:pStyle w:val="a9"/>
        <w:spacing w:before="0" w:after="0"/>
        <w:jc w:val="left"/>
        <w:rPr>
          <w:rFonts w:ascii="仿宋" w:eastAsia="仿宋" w:hAnsi="仿宋" w:hint="eastAsia"/>
          <w:b w:val="0"/>
          <w:sz w:val="28"/>
          <w:szCs w:val="28"/>
        </w:rPr>
      </w:pPr>
      <w:r>
        <w:rPr>
          <w:rFonts w:ascii="仿宋" w:eastAsia="仿宋" w:hAnsi="仿宋" w:hint="eastAsia"/>
          <w:b w:val="0"/>
          <w:sz w:val="28"/>
          <w:szCs w:val="28"/>
        </w:rPr>
        <w:t>附件1：</w:t>
      </w:r>
    </w:p>
    <w:p w:rsidR="008B68AA" w:rsidRDefault="00AC1EFC" w:rsidP="00B20C5F">
      <w:pPr>
        <w:pStyle w:val="a9"/>
      </w:pPr>
      <w:r>
        <w:rPr>
          <w:rFonts w:hint="eastAsia"/>
        </w:rPr>
        <w:t>福建工程学院实验室</w:t>
      </w:r>
      <w:r w:rsidR="00982EDB">
        <w:rPr>
          <w:rFonts w:hint="eastAsia"/>
        </w:rPr>
        <w:t>技术</w:t>
      </w:r>
      <w:r>
        <w:rPr>
          <w:rFonts w:hint="eastAsia"/>
        </w:rPr>
        <w:t>安全</w:t>
      </w:r>
      <w:r w:rsidR="00982EDB">
        <w:rPr>
          <w:rFonts w:hint="eastAsia"/>
        </w:rPr>
        <w:t>工作</w:t>
      </w:r>
      <w:r>
        <w:rPr>
          <w:rFonts w:hint="eastAsia"/>
        </w:rPr>
        <w:t>责任书</w:t>
      </w:r>
    </w:p>
    <w:p w:rsidR="008B68AA" w:rsidRDefault="00AC1EFC" w:rsidP="0006354A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为加强学校实验室</w:t>
      </w:r>
      <w:r w:rsidR="005652F0">
        <w:rPr>
          <w:rFonts w:hint="eastAsia"/>
          <w:sz w:val="28"/>
          <w:szCs w:val="28"/>
        </w:rPr>
        <w:t>技术</w:t>
      </w:r>
      <w:r>
        <w:rPr>
          <w:rFonts w:hint="eastAsia"/>
          <w:sz w:val="28"/>
          <w:szCs w:val="28"/>
        </w:rPr>
        <w:t>安全管理，保障</w:t>
      </w:r>
      <w:r w:rsidR="005652F0">
        <w:rPr>
          <w:rFonts w:hint="eastAsia"/>
          <w:sz w:val="28"/>
          <w:szCs w:val="28"/>
        </w:rPr>
        <w:t>师生员工的人身安全和财产安全，维护</w:t>
      </w:r>
      <w:r>
        <w:rPr>
          <w:rFonts w:hint="eastAsia"/>
          <w:sz w:val="28"/>
          <w:szCs w:val="28"/>
        </w:rPr>
        <w:t>教学</w:t>
      </w:r>
      <w:r w:rsidR="005652F0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科研</w:t>
      </w:r>
      <w:r w:rsidR="005652F0">
        <w:rPr>
          <w:rFonts w:hint="eastAsia"/>
          <w:sz w:val="28"/>
          <w:szCs w:val="28"/>
        </w:rPr>
        <w:t>学科建设和创新开发等各</w:t>
      </w:r>
      <w:proofErr w:type="gramStart"/>
      <w:r w:rsidR="005652F0">
        <w:rPr>
          <w:rFonts w:hint="eastAsia"/>
          <w:sz w:val="28"/>
          <w:szCs w:val="28"/>
        </w:rPr>
        <w:t>类实践</w:t>
      </w:r>
      <w:proofErr w:type="gramEnd"/>
      <w:r w:rsidR="005652F0">
        <w:rPr>
          <w:rFonts w:hint="eastAsia"/>
          <w:sz w:val="28"/>
          <w:szCs w:val="28"/>
        </w:rPr>
        <w:t>活动</w:t>
      </w:r>
      <w:r>
        <w:rPr>
          <w:rFonts w:hint="eastAsia"/>
          <w:sz w:val="28"/>
          <w:szCs w:val="28"/>
        </w:rPr>
        <w:t>的</w:t>
      </w:r>
      <w:r w:rsidR="005652F0">
        <w:rPr>
          <w:rFonts w:hint="eastAsia"/>
          <w:sz w:val="28"/>
          <w:szCs w:val="28"/>
        </w:rPr>
        <w:t>正常秩序</w:t>
      </w:r>
      <w:r>
        <w:rPr>
          <w:rFonts w:hint="eastAsia"/>
          <w:sz w:val="28"/>
          <w:szCs w:val="28"/>
        </w:rPr>
        <w:t>，根据</w:t>
      </w:r>
      <w:r w:rsidR="005652F0">
        <w:rPr>
          <w:rFonts w:hint="eastAsia"/>
          <w:sz w:val="28"/>
          <w:szCs w:val="28"/>
        </w:rPr>
        <w:t>国家有关政策法规、福建省实验室技术安全管理及实验室环境保护相关规定，</w:t>
      </w:r>
      <w:r>
        <w:rPr>
          <w:rFonts w:hint="eastAsia"/>
          <w:sz w:val="28"/>
          <w:szCs w:val="28"/>
        </w:rPr>
        <w:t>结合</w:t>
      </w:r>
      <w:r w:rsidR="005652F0">
        <w:rPr>
          <w:rFonts w:hint="eastAsia"/>
          <w:sz w:val="28"/>
          <w:szCs w:val="28"/>
        </w:rPr>
        <w:t>学校实验室技术安全管理办法及其他相关实验室安全管理制度要求，</w:t>
      </w:r>
      <w:r>
        <w:rPr>
          <w:rFonts w:hint="eastAsia"/>
          <w:sz w:val="28"/>
          <w:szCs w:val="28"/>
        </w:rPr>
        <w:t>特签订</w:t>
      </w:r>
      <w:proofErr w:type="gramStart"/>
      <w:r>
        <w:rPr>
          <w:rFonts w:hint="eastAsia"/>
          <w:sz w:val="28"/>
          <w:szCs w:val="28"/>
        </w:rPr>
        <w:t>本安全</w:t>
      </w:r>
      <w:proofErr w:type="gramEnd"/>
      <w:r w:rsidR="005652F0">
        <w:rPr>
          <w:rFonts w:hint="eastAsia"/>
          <w:sz w:val="28"/>
          <w:szCs w:val="28"/>
        </w:rPr>
        <w:t>工作</w:t>
      </w:r>
      <w:r>
        <w:rPr>
          <w:rFonts w:hint="eastAsia"/>
          <w:sz w:val="28"/>
          <w:szCs w:val="28"/>
        </w:rPr>
        <w:t>责任书。</w:t>
      </w:r>
    </w:p>
    <w:p w:rsidR="008B68AA" w:rsidRDefault="00AC1EFC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 w:rsidRPr="00677758">
        <w:rPr>
          <w:rFonts w:hint="eastAsia"/>
          <w:sz w:val="28"/>
          <w:szCs w:val="28"/>
        </w:rPr>
        <w:t>学校实验室</w:t>
      </w:r>
      <w:r w:rsidR="00F76314" w:rsidRPr="00677758">
        <w:rPr>
          <w:rFonts w:hint="eastAsia"/>
          <w:sz w:val="28"/>
          <w:szCs w:val="28"/>
        </w:rPr>
        <w:t>安全管理工作</w:t>
      </w:r>
      <w:r w:rsidR="00C96709" w:rsidRPr="00677758">
        <w:rPr>
          <w:rFonts w:hint="eastAsia"/>
          <w:sz w:val="28"/>
          <w:szCs w:val="28"/>
        </w:rPr>
        <w:t>遵循“党政同责、一岗双责、齐抓共管”的原则，</w:t>
      </w:r>
      <w:r w:rsidRPr="00677758">
        <w:rPr>
          <w:rFonts w:hint="eastAsia"/>
          <w:sz w:val="28"/>
          <w:szCs w:val="28"/>
        </w:rPr>
        <w:t>各</w:t>
      </w:r>
      <w:r w:rsidR="007B3E2B" w:rsidRPr="00677758">
        <w:rPr>
          <w:rFonts w:hint="eastAsia"/>
          <w:sz w:val="28"/>
          <w:szCs w:val="28"/>
        </w:rPr>
        <w:t>学院</w:t>
      </w:r>
      <w:r w:rsidR="00C96709" w:rsidRPr="00677758">
        <w:rPr>
          <w:rFonts w:hint="eastAsia"/>
          <w:sz w:val="28"/>
          <w:szCs w:val="28"/>
        </w:rPr>
        <w:t>党政</w:t>
      </w:r>
      <w:r w:rsidR="007B3E2B" w:rsidRPr="00677758">
        <w:rPr>
          <w:rFonts w:hint="eastAsia"/>
          <w:sz w:val="28"/>
          <w:szCs w:val="28"/>
        </w:rPr>
        <w:t>工作主要负责人</w:t>
      </w:r>
      <w:r w:rsidR="00C61288" w:rsidRPr="00677758">
        <w:rPr>
          <w:rFonts w:hint="eastAsia"/>
          <w:sz w:val="28"/>
          <w:szCs w:val="28"/>
        </w:rPr>
        <w:t>作为本单位安全责任人</w:t>
      </w:r>
      <w:r w:rsidR="00C96709" w:rsidRPr="00677758">
        <w:rPr>
          <w:rFonts w:hint="eastAsia"/>
          <w:sz w:val="28"/>
          <w:szCs w:val="28"/>
        </w:rPr>
        <w:t>共同</w:t>
      </w:r>
      <w:r w:rsidRPr="00677758">
        <w:rPr>
          <w:rFonts w:hint="eastAsia"/>
          <w:sz w:val="28"/>
          <w:szCs w:val="28"/>
        </w:rPr>
        <w:t>负责本单位实验室安全管理工作</w:t>
      </w:r>
      <w:r w:rsidR="00677758" w:rsidRPr="00677758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与</w:t>
      </w:r>
      <w:r w:rsidR="00677758"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>签订</w:t>
      </w:r>
      <w:r w:rsidR="00677758">
        <w:rPr>
          <w:rFonts w:hint="eastAsia"/>
          <w:sz w:val="28"/>
          <w:szCs w:val="28"/>
        </w:rPr>
        <w:t>实验室技术</w:t>
      </w:r>
      <w:r>
        <w:rPr>
          <w:rFonts w:hint="eastAsia"/>
          <w:sz w:val="28"/>
          <w:szCs w:val="28"/>
        </w:rPr>
        <w:t>安全责任书。</w:t>
      </w:r>
    </w:p>
    <w:p w:rsidR="00AE49D6" w:rsidRPr="00AE49D6" w:rsidRDefault="00EB1AD5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遵循“谁主管、谁负责，谁使用、谁负责”的原则，</w:t>
      </w:r>
      <w:r w:rsidR="00AC1EFC">
        <w:rPr>
          <w:rFonts w:hint="eastAsia"/>
          <w:sz w:val="28"/>
          <w:szCs w:val="28"/>
        </w:rPr>
        <w:t>逐级建立</w:t>
      </w:r>
      <w:r w:rsidR="00AE49D6">
        <w:rPr>
          <w:rFonts w:hint="eastAsia"/>
          <w:sz w:val="28"/>
          <w:szCs w:val="28"/>
        </w:rPr>
        <w:t>、完善</w:t>
      </w:r>
      <w:r>
        <w:rPr>
          <w:rFonts w:hint="eastAsia"/>
          <w:sz w:val="28"/>
          <w:szCs w:val="28"/>
        </w:rPr>
        <w:t>学院</w:t>
      </w:r>
      <w:r w:rsidR="00AC1EFC">
        <w:rPr>
          <w:rFonts w:hint="eastAsia"/>
          <w:sz w:val="28"/>
          <w:szCs w:val="28"/>
        </w:rPr>
        <w:t>实验室</w:t>
      </w:r>
      <w:r w:rsidR="00AE49D6">
        <w:rPr>
          <w:rFonts w:hint="eastAsia"/>
          <w:sz w:val="28"/>
          <w:szCs w:val="28"/>
        </w:rPr>
        <w:t>技术</w:t>
      </w:r>
      <w:r w:rsidR="00AC1EFC">
        <w:rPr>
          <w:rFonts w:hint="eastAsia"/>
          <w:sz w:val="28"/>
          <w:szCs w:val="28"/>
        </w:rPr>
        <w:t>安全责任</w:t>
      </w:r>
      <w:r w:rsidR="00AE49D6">
        <w:rPr>
          <w:rFonts w:hint="eastAsia"/>
          <w:sz w:val="28"/>
          <w:szCs w:val="28"/>
        </w:rPr>
        <w:t>体系</w:t>
      </w:r>
      <w:r w:rsidR="00AC1EFC">
        <w:rPr>
          <w:rFonts w:hint="eastAsia"/>
          <w:sz w:val="28"/>
          <w:szCs w:val="28"/>
        </w:rPr>
        <w:t>。</w:t>
      </w:r>
      <w:r w:rsidR="00AE49D6">
        <w:rPr>
          <w:rFonts w:hint="eastAsia"/>
          <w:sz w:val="28"/>
          <w:szCs w:val="28"/>
        </w:rPr>
        <w:t>组建本单位实验室技术安全工作领导小组。</w:t>
      </w:r>
      <w:r w:rsidR="00AC1EFC" w:rsidRPr="00397DC3">
        <w:rPr>
          <w:rFonts w:hint="eastAsia"/>
          <w:sz w:val="28"/>
          <w:szCs w:val="28"/>
        </w:rPr>
        <w:t>学院</w:t>
      </w:r>
      <w:r w:rsidR="00AE49D6" w:rsidRPr="00397DC3">
        <w:rPr>
          <w:rFonts w:hint="eastAsia"/>
          <w:sz w:val="28"/>
          <w:szCs w:val="28"/>
        </w:rPr>
        <w:t>党政工作主要负责人全面负责本单位实验室技术安全工作。</w:t>
      </w:r>
    </w:p>
    <w:p w:rsidR="00AE49D6" w:rsidRPr="00397DC3" w:rsidRDefault="00AE49D6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 w:rsidRPr="00397DC3">
        <w:rPr>
          <w:rFonts w:hint="eastAsia"/>
          <w:sz w:val="28"/>
          <w:szCs w:val="28"/>
        </w:rPr>
        <w:t>组织本单位各实验室</w:t>
      </w:r>
      <w:r w:rsidRPr="00397DC3">
        <w:rPr>
          <w:sz w:val="28"/>
          <w:szCs w:val="28"/>
        </w:rPr>
        <w:t>制定</w:t>
      </w:r>
      <w:r w:rsidRPr="00397DC3">
        <w:rPr>
          <w:rFonts w:hint="eastAsia"/>
          <w:sz w:val="28"/>
          <w:szCs w:val="28"/>
        </w:rPr>
        <w:t>符合学科特点的实验室安全管理制度、技术规范和安全事故应急预案（包括有学科特色的实验室安全管理制度规定、涉及安全隐患的设备操作规程、</w:t>
      </w:r>
      <w:proofErr w:type="gramStart"/>
      <w:r w:rsidRPr="00397DC3">
        <w:rPr>
          <w:rFonts w:hint="eastAsia"/>
          <w:sz w:val="28"/>
          <w:szCs w:val="28"/>
        </w:rPr>
        <w:t>涉危实验</w:t>
      </w:r>
      <w:proofErr w:type="gramEnd"/>
      <w:r w:rsidRPr="00397DC3">
        <w:rPr>
          <w:rFonts w:hint="eastAsia"/>
          <w:sz w:val="28"/>
          <w:szCs w:val="28"/>
        </w:rPr>
        <w:t>工艺的操作规程、分类实验室突发事件应急预案等）；</w:t>
      </w:r>
    </w:p>
    <w:p w:rsidR="00AE49D6" w:rsidRPr="00397DC3" w:rsidRDefault="00AE49D6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 w:rsidRPr="00397DC3">
        <w:rPr>
          <w:rFonts w:hint="eastAsia"/>
          <w:sz w:val="28"/>
          <w:szCs w:val="28"/>
        </w:rPr>
        <w:t>组织、协调、督促实验室做好实验室技术安全工作（包括危险源辨识、危险源清单信息、警示标识设置、组织实验室重要危险</w:t>
      </w:r>
      <w:proofErr w:type="gramStart"/>
      <w:r w:rsidRPr="00397DC3">
        <w:rPr>
          <w:rFonts w:hint="eastAsia"/>
          <w:sz w:val="28"/>
          <w:szCs w:val="28"/>
        </w:rPr>
        <w:t>源风险</w:t>
      </w:r>
      <w:proofErr w:type="gramEnd"/>
      <w:r w:rsidRPr="00397DC3">
        <w:rPr>
          <w:rFonts w:hint="eastAsia"/>
          <w:sz w:val="28"/>
          <w:szCs w:val="28"/>
        </w:rPr>
        <w:t>评估和应急管</w:t>
      </w:r>
      <w:proofErr w:type="gramStart"/>
      <w:r w:rsidRPr="00397DC3">
        <w:rPr>
          <w:rFonts w:hint="eastAsia"/>
          <w:sz w:val="28"/>
          <w:szCs w:val="28"/>
        </w:rPr>
        <w:t>控方案</w:t>
      </w:r>
      <w:proofErr w:type="gramEnd"/>
      <w:r w:rsidRPr="00397DC3">
        <w:rPr>
          <w:rFonts w:hint="eastAsia"/>
          <w:sz w:val="28"/>
          <w:szCs w:val="28"/>
        </w:rPr>
        <w:t>等）；</w:t>
      </w:r>
    </w:p>
    <w:p w:rsidR="00AE49D6" w:rsidRPr="00397DC3" w:rsidRDefault="00AE49D6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 w:rsidRPr="00397DC3">
        <w:rPr>
          <w:rFonts w:hint="eastAsia"/>
          <w:sz w:val="28"/>
          <w:szCs w:val="28"/>
        </w:rPr>
        <w:t>制定本单位</w:t>
      </w:r>
      <w:r w:rsidRPr="00397DC3">
        <w:rPr>
          <w:sz w:val="28"/>
          <w:szCs w:val="28"/>
        </w:rPr>
        <w:t>实验室安全工作计划并组织实施；</w:t>
      </w:r>
    </w:p>
    <w:p w:rsidR="00AE49D6" w:rsidRPr="00397DC3" w:rsidRDefault="00397DC3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 w:rsidRPr="00397DC3">
        <w:rPr>
          <w:rFonts w:hint="eastAsia"/>
          <w:sz w:val="28"/>
          <w:szCs w:val="28"/>
        </w:rPr>
        <w:t>根据《</w:t>
      </w:r>
      <w:r w:rsidR="00712273" w:rsidRPr="00712273">
        <w:rPr>
          <w:rFonts w:hint="eastAsia"/>
          <w:sz w:val="28"/>
          <w:szCs w:val="28"/>
        </w:rPr>
        <w:t>福建工程学院实验室安全与卫生检查办法</w:t>
      </w:r>
      <w:r w:rsidRPr="00397DC3">
        <w:rPr>
          <w:rFonts w:hint="eastAsia"/>
          <w:sz w:val="28"/>
          <w:szCs w:val="28"/>
        </w:rPr>
        <w:t>》文件中相关条款要求和学院工作细则，</w:t>
      </w:r>
      <w:r w:rsidR="00AE49D6" w:rsidRPr="00397DC3">
        <w:rPr>
          <w:rFonts w:hint="eastAsia"/>
          <w:sz w:val="28"/>
          <w:szCs w:val="28"/>
        </w:rPr>
        <w:t>组织本单位实验室技术安全值班值日和检查、评估工作，并组织落实隐患整改；</w:t>
      </w:r>
    </w:p>
    <w:p w:rsidR="00AE49D6" w:rsidRPr="00397DC3" w:rsidRDefault="00397DC3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 w:rsidRPr="00397DC3">
        <w:rPr>
          <w:rFonts w:hint="eastAsia"/>
          <w:sz w:val="28"/>
          <w:szCs w:val="28"/>
        </w:rPr>
        <w:t>根据《</w:t>
      </w:r>
      <w:r w:rsidR="00712273" w:rsidRPr="00712273">
        <w:rPr>
          <w:rFonts w:hint="eastAsia"/>
          <w:sz w:val="28"/>
          <w:szCs w:val="28"/>
        </w:rPr>
        <w:t>福建工程学院实验室安全教育与安全准入办法</w:t>
      </w:r>
      <w:r w:rsidRPr="00397DC3">
        <w:rPr>
          <w:rFonts w:hint="eastAsia"/>
          <w:sz w:val="28"/>
          <w:szCs w:val="28"/>
        </w:rPr>
        <w:t>》文件中相关条款要求和学院工作细则，</w:t>
      </w:r>
      <w:r w:rsidR="00AE49D6" w:rsidRPr="00397DC3">
        <w:rPr>
          <w:rFonts w:hint="eastAsia"/>
          <w:sz w:val="28"/>
          <w:szCs w:val="28"/>
        </w:rPr>
        <w:t>组织本单位实验室技术安全宣传、教育</w:t>
      </w:r>
      <w:r w:rsidR="00AE49D6" w:rsidRPr="00397DC3">
        <w:rPr>
          <w:rFonts w:hint="eastAsia"/>
          <w:sz w:val="28"/>
          <w:szCs w:val="28"/>
        </w:rPr>
        <w:lastRenderedPageBreak/>
        <w:t>与考核；</w:t>
      </w:r>
    </w:p>
    <w:p w:rsidR="00AE49D6" w:rsidRPr="00397DC3" w:rsidRDefault="00397DC3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 w:rsidRPr="00397DC3">
        <w:rPr>
          <w:rFonts w:hint="eastAsia"/>
          <w:sz w:val="28"/>
          <w:szCs w:val="28"/>
        </w:rPr>
        <w:t>根据《</w:t>
      </w:r>
      <w:r w:rsidR="00712273" w:rsidRPr="00712273">
        <w:rPr>
          <w:rFonts w:hint="eastAsia"/>
          <w:sz w:val="28"/>
          <w:szCs w:val="28"/>
        </w:rPr>
        <w:t>福建工程学院实验室安全教育与安全准入办法</w:t>
      </w:r>
      <w:r w:rsidRPr="00397DC3">
        <w:rPr>
          <w:rFonts w:hint="eastAsia"/>
          <w:sz w:val="28"/>
          <w:szCs w:val="28"/>
        </w:rPr>
        <w:t>》文件中相关条款要求和学院工作细则，</w:t>
      </w:r>
      <w:r w:rsidR="00AE49D6" w:rsidRPr="00397DC3">
        <w:rPr>
          <w:rFonts w:hint="eastAsia"/>
          <w:sz w:val="28"/>
          <w:szCs w:val="28"/>
        </w:rPr>
        <w:t>落实实验室技术安全的人员、实验项目与实验室建设项目的准入；</w:t>
      </w:r>
    </w:p>
    <w:p w:rsidR="00AE49D6" w:rsidRPr="00397DC3" w:rsidRDefault="00AE49D6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 w:rsidRPr="00397DC3">
        <w:rPr>
          <w:rFonts w:hint="eastAsia"/>
          <w:sz w:val="28"/>
          <w:szCs w:val="28"/>
        </w:rPr>
        <w:t>落实实验室技术安全设施建设、改造与实验室技术安全管理的资金；</w:t>
      </w:r>
    </w:p>
    <w:p w:rsidR="00AE49D6" w:rsidRPr="00397DC3" w:rsidRDefault="00AE49D6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 w:rsidRPr="00397DC3">
        <w:rPr>
          <w:sz w:val="28"/>
          <w:szCs w:val="28"/>
        </w:rPr>
        <w:t>及时发布、报送实验室安全环保工作相关通知、信息、工作进展等。</w:t>
      </w:r>
    </w:p>
    <w:p w:rsidR="00397DC3" w:rsidRDefault="00397DC3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 w:rsidRPr="00397DC3">
        <w:rPr>
          <w:rFonts w:hint="eastAsia"/>
          <w:sz w:val="28"/>
          <w:szCs w:val="28"/>
        </w:rPr>
        <w:t>负责按照《</w:t>
      </w:r>
      <w:r w:rsidR="00712273" w:rsidRPr="00712273">
        <w:rPr>
          <w:rFonts w:hint="eastAsia"/>
          <w:sz w:val="28"/>
          <w:szCs w:val="28"/>
        </w:rPr>
        <w:t>福建工程学院实验室安全与环保管理奖励及责任追究办法</w:t>
      </w:r>
      <w:r w:rsidRPr="00397DC3">
        <w:rPr>
          <w:rFonts w:hint="eastAsia"/>
          <w:sz w:val="28"/>
          <w:szCs w:val="28"/>
        </w:rPr>
        <w:t>》文件中相关条款要求和学院工作细则，落实学院实验室安全和环保工作的考核</w:t>
      </w:r>
      <w:r w:rsidR="00A6383B">
        <w:rPr>
          <w:rFonts w:hint="eastAsia"/>
          <w:sz w:val="28"/>
          <w:szCs w:val="28"/>
        </w:rPr>
        <w:t>、</w:t>
      </w:r>
      <w:r w:rsidRPr="00397DC3">
        <w:rPr>
          <w:rFonts w:hint="eastAsia"/>
          <w:sz w:val="28"/>
          <w:szCs w:val="28"/>
        </w:rPr>
        <w:t>评比</w:t>
      </w:r>
      <w:r w:rsidR="00A6383B">
        <w:rPr>
          <w:rFonts w:hint="eastAsia"/>
          <w:sz w:val="28"/>
          <w:szCs w:val="28"/>
        </w:rPr>
        <w:t>和</w:t>
      </w:r>
      <w:r w:rsidR="0053340F">
        <w:rPr>
          <w:rFonts w:hint="eastAsia"/>
          <w:sz w:val="28"/>
          <w:szCs w:val="28"/>
        </w:rPr>
        <w:t>事故初查、</w:t>
      </w:r>
      <w:r w:rsidR="00A6383B">
        <w:rPr>
          <w:rFonts w:hint="eastAsia"/>
          <w:sz w:val="28"/>
          <w:szCs w:val="28"/>
        </w:rPr>
        <w:t>责任追究工作</w:t>
      </w:r>
      <w:r w:rsidRPr="00397DC3">
        <w:rPr>
          <w:rFonts w:hint="eastAsia"/>
          <w:sz w:val="28"/>
          <w:szCs w:val="28"/>
        </w:rPr>
        <w:t>。</w:t>
      </w:r>
    </w:p>
    <w:p w:rsidR="0006354A" w:rsidRPr="0006354A" w:rsidRDefault="0006354A" w:rsidP="0006354A">
      <w:pPr>
        <w:pStyle w:val="a8"/>
        <w:numPr>
          <w:ilvl w:val="0"/>
          <w:numId w:val="1"/>
        </w:numPr>
        <w:autoSpaceDE w:val="0"/>
        <w:autoSpaceDN w:val="0"/>
        <w:adjustRightInd w:val="0"/>
        <w:snapToGrid w:val="0"/>
        <w:spacing w:line="500" w:lineRule="exact"/>
        <w:ind w:firstLine="560"/>
        <w:jc w:val="left"/>
        <w:rPr>
          <w:sz w:val="28"/>
          <w:szCs w:val="28"/>
        </w:rPr>
      </w:pPr>
      <w:r w:rsidRPr="0006354A">
        <w:rPr>
          <w:rFonts w:hint="eastAsia"/>
          <w:sz w:val="28"/>
          <w:szCs w:val="28"/>
        </w:rPr>
        <w:t>本责任书长期有效。</w:t>
      </w:r>
    </w:p>
    <w:p w:rsidR="008B68AA" w:rsidRDefault="00AC1EFC" w:rsidP="0006354A">
      <w:pPr>
        <w:numPr>
          <w:ilvl w:val="0"/>
          <w:numId w:val="1"/>
        </w:num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本责任书一式两份，</w:t>
      </w:r>
      <w:r w:rsidR="00397DC3">
        <w:rPr>
          <w:rFonts w:hint="eastAsia"/>
          <w:sz w:val="28"/>
          <w:szCs w:val="28"/>
        </w:rPr>
        <w:t>学校实验室技术安全工作委员会</w:t>
      </w:r>
      <w:r>
        <w:rPr>
          <w:rFonts w:hint="eastAsia"/>
          <w:sz w:val="28"/>
          <w:szCs w:val="28"/>
        </w:rPr>
        <w:t>和</w:t>
      </w:r>
      <w:r w:rsidRPr="00397DC3">
        <w:rPr>
          <w:rFonts w:hint="eastAsia"/>
          <w:sz w:val="28"/>
          <w:szCs w:val="28"/>
        </w:rPr>
        <w:t>学院</w:t>
      </w:r>
      <w:r w:rsidR="00397DC3" w:rsidRPr="00397DC3">
        <w:rPr>
          <w:rFonts w:hint="eastAsia"/>
          <w:sz w:val="28"/>
          <w:szCs w:val="28"/>
        </w:rPr>
        <w:t>（单位）</w:t>
      </w:r>
      <w:r>
        <w:rPr>
          <w:rFonts w:hint="eastAsia"/>
          <w:sz w:val="28"/>
          <w:szCs w:val="28"/>
        </w:rPr>
        <w:t>安全责任人各执一份。自签订之日起生效。若遇责任人变动，由接任者继续履行职责。</w:t>
      </w:r>
    </w:p>
    <w:p w:rsidR="0006354A" w:rsidRDefault="0006354A" w:rsidP="0006354A">
      <w:pPr>
        <w:spacing w:line="500" w:lineRule="exact"/>
        <w:rPr>
          <w:sz w:val="28"/>
          <w:szCs w:val="28"/>
        </w:rPr>
      </w:pPr>
    </w:p>
    <w:p w:rsidR="0006354A" w:rsidRDefault="0006354A" w:rsidP="0006354A">
      <w:pPr>
        <w:spacing w:line="500" w:lineRule="exact"/>
        <w:rPr>
          <w:sz w:val="28"/>
          <w:szCs w:val="28"/>
        </w:rPr>
      </w:pPr>
    </w:p>
    <w:p w:rsidR="008B68AA" w:rsidRDefault="00AC1EF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学院（盖章）：</w:t>
      </w:r>
      <w:r>
        <w:rPr>
          <w:rFonts w:hint="eastAsia"/>
          <w:sz w:val="28"/>
          <w:szCs w:val="28"/>
        </w:rPr>
        <w:t xml:space="preserve">                 </w:t>
      </w:r>
      <w:r w:rsidR="00936F4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="00C52EB4"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>（盖章）：</w:t>
      </w:r>
    </w:p>
    <w:p w:rsidR="008B68AA" w:rsidRDefault="00AC1EF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学院负责人</w:t>
      </w:r>
      <w:r w:rsidR="00936F41">
        <w:rPr>
          <w:rFonts w:hint="eastAsia"/>
          <w:sz w:val="28"/>
          <w:szCs w:val="28"/>
        </w:rPr>
        <w:t>（签名）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分管校长</w:t>
      </w:r>
      <w:r w:rsidR="00936F41">
        <w:rPr>
          <w:rFonts w:hint="eastAsia"/>
          <w:sz w:val="28"/>
          <w:szCs w:val="28"/>
        </w:rPr>
        <w:t>（签名）</w:t>
      </w:r>
      <w:r>
        <w:rPr>
          <w:rFonts w:hint="eastAsia"/>
          <w:sz w:val="28"/>
          <w:szCs w:val="28"/>
        </w:rPr>
        <w:t>：</w:t>
      </w:r>
    </w:p>
    <w:p w:rsidR="00C52EB4" w:rsidRDefault="00C52EB4">
      <w:pPr>
        <w:rPr>
          <w:sz w:val="28"/>
          <w:szCs w:val="28"/>
        </w:rPr>
      </w:pPr>
    </w:p>
    <w:p w:rsidR="0006354A" w:rsidRDefault="0006354A">
      <w:pPr>
        <w:rPr>
          <w:sz w:val="28"/>
          <w:szCs w:val="28"/>
        </w:rPr>
      </w:pPr>
    </w:p>
    <w:p w:rsidR="008B68AA" w:rsidRDefault="00C52EB4" w:rsidP="00175D24">
      <w:pPr>
        <w:spacing w:beforeLines="50"/>
        <w:ind w:firstLineChars="250" w:firstLine="700"/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r w:rsidR="00AC1EFC"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               </w:t>
      </w:r>
      <w:r w:rsidR="00397DC3">
        <w:rPr>
          <w:rFonts w:hint="eastAsia"/>
          <w:sz w:val="28"/>
          <w:szCs w:val="28"/>
        </w:rPr>
        <w:t xml:space="preserve">   </w:t>
      </w:r>
      <w:r w:rsidR="00AC1EFC">
        <w:rPr>
          <w:rFonts w:hint="eastAsia"/>
          <w:sz w:val="28"/>
          <w:szCs w:val="28"/>
        </w:rPr>
        <w:t>年</w:t>
      </w:r>
      <w:r w:rsidR="00397DC3">
        <w:rPr>
          <w:rFonts w:hint="eastAsia"/>
          <w:sz w:val="28"/>
          <w:szCs w:val="28"/>
        </w:rPr>
        <w:t xml:space="preserve">     </w:t>
      </w:r>
      <w:r w:rsidR="00AC1EFC">
        <w:rPr>
          <w:rFonts w:hint="eastAsia"/>
          <w:sz w:val="28"/>
          <w:szCs w:val="28"/>
        </w:rPr>
        <w:t>月</w:t>
      </w:r>
      <w:r w:rsidR="00397DC3">
        <w:rPr>
          <w:rFonts w:hint="eastAsia"/>
          <w:sz w:val="28"/>
          <w:szCs w:val="28"/>
        </w:rPr>
        <w:t xml:space="preserve">   </w:t>
      </w:r>
      <w:r w:rsidR="00AC1EFC">
        <w:rPr>
          <w:rFonts w:hint="eastAsia"/>
          <w:sz w:val="28"/>
          <w:szCs w:val="28"/>
        </w:rPr>
        <w:t>日</w:t>
      </w:r>
      <w:bookmarkStart w:id="0" w:name="_GoBack"/>
      <w:bookmarkEnd w:id="0"/>
    </w:p>
    <w:sectPr w:rsidR="008B68AA" w:rsidSect="00C52EB4">
      <w:pgSz w:w="11906" w:h="16838"/>
      <w:pgMar w:top="1440" w:right="1558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7AB" w:rsidRDefault="006C37AB" w:rsidP="00936F41">
      <w:r>
        <w:separator/>
      </w:r>
    </w:p>
  </w:endnote>
  <w:endnote w:type="continuationSeparator" w:id="0">
    <w:p w:rsidR="006C37AB" w:rsidRDefault="006C37AB" w:rsidP="00936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7AB" w:rsidRDefault="006C37AB" w:rsidP="00936F41">
      <w:r>
        <w:separator/>
      </w:r>
    </w:p>
  </w:footnote>
  <w:footnote w:type="continuationSeparator" w:id="0">
    <w:p w:rsidR="006C37AB" w:rsidRDefault="006C37AB" w:rsidP="00936F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D383BCF"/>
    <w:multiLevelType w:val="singleLevel"/>
    <w:tmpl w:val="99B2D42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A2068AC"/>
    <w:rsid w:val="0006354A"/>
    <w:rsid w:val="00175D24"/>
    <w:rsid w:val="001B3910"/>
    <w:rsid w:val="003657E8"/>
    <w:rsid w:val="00397DC3"/>
    <w:rsid w:val="00433230"/>
    <w:rsid w:val="00492F0A"/>
    <w:rsid w:val="004E0E1F"/>
    <w:rsid w:val="0053340F"/>
    <w:rsid w:val="005652F0"/>
    <w:rsid w:val="005667A0"/>
    <w:rsid w:val="00677758"/>
    <w:rsid w:val="006C37AB"/>
    <w:rsid w:val="00712273"/>
    <w:rsid w:val="007140A8"/>
    <w:rsid w:val="00773E59"/>
    <w:rsid w:val="007B3E2B"/>
    <w:rsid w:val="008B68AA"/>
    <w:rsid w:val="00904120"/>
    <w:rsid w:val="009228BD"/>
    <w:rsid w:val="009231AA"/>
    <w:rsid w:val="00936F41"/>
    <w:rsid w:val="00975245"/>
    <w:rsid w:val="00982EDB"/>
    <w:rsid w:val="009C48EB"/>
    <w:rsid w:val="009C7152"/>
    <w:rsid w:val="009F19EE"/>
    <w:rsid w:val="009F458B"/>
    <w:rsid w:val="00A6383B"/>
    <w:rsid w:val="00A82DD6"/>
    <w:rsid w:val="00AC1EFC"/>
    <w:rsid w:val="00AD1F28"/>
    <w:rsid w:val="00AE49D6"/>
    <w:rsid w:val="00B20C5F"/>
    <w:rsid w:val="00C52EB4"/>
    <w:rsid w:val="00C61288"/>
    <w:rsid w:val="00C96709"/>
    <w:rsid w:val="00D16741"/>
    <w:rsid w:val="00D578BE"/>
    <w:rsid w:val="00E25F80"/>
    <w:rsid w:val="00E81DFD"/>
    <w:rsid w:val="00EB1AD5"/>
    <w:rsid w:val="00F3319E"/>
    <w:rsid w:val="00F76314"/>
    <w:rsid w:val="00FC4D70"/>
    <w:rsid w:val="27564E85"/>
    <w:rsid w:val="2FBF3859"/>
    <w:rsid w:val="4D7B0B00"/>
    <w:rsid w:val="50532649"/>
    <w:rsid w:val="6D535020"/>
    <w:rsid w:val="71AA4C39"/>
    <w:rsid w:val="7A20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8A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8B68AA"/>
    <w:rPr>
      <w:rFonts w:ascii="宋体" w:hAnsi="Courier New"/>
    </w:rPr>
  </w:style>
  <w:style w:type="paragraph" w:styleId="a4">
    <w:name w:val="header"/>
    <w:basedOn w:val="a"/>
    <w:link w:val="Char"/>
    <w:rsid w:val="00936F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36F41"/>
    <w:rPr>
      <w:kern w:val="2"/>
      <w:sz w:val="18"/>
      <w:szCs w:val="18"/>
    </w:rPr>
  </w:style>
  <w:style w:type="paragraph" w:styleId="a5">
    <w:name w:val="footer"/>
    <w:basedOn w:val="a"/>
    <w:link w:val="Char0"/>
    <w:rsid w:val="00936F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36F41"/>
    <w:rPr>
      <w:kern w:val="2"/>
      <w:sz w:val="18"/>
      <w:szCs w:val="18"/>
    </w:rPr>
  </w:style>
  <w:style w:type="paragraph" w:styleId="a6">
    <w:name w:val="Balloon Text"/>
    <w:basedOn w:val="a"/>
    <w:link w:val="Char1"/>
    <w:rsid w:val="009F19EE"/>
    <w:rPr>
      <w:sz w:val="18"/>
      <w:szCs w:val="18"/>
    </w:rPr>
  </w:style>
  <w:style w:type="character" w:customStyle="1" w:styleId="Char1">
    <w:name w:val="批注框文本 Char"/>
    <w:basedOn w:val="a0"/>
    <w:link w:val="a6"/>
    <w:rsid w:val="009F19EE"/>
    <w:rPr>
      <w:kern w:val="2"/>
      <w:sz w:val="18"/>
      <w:szCs w:val="18"/>
    </w:rPr>
  </w:style>
  <w:style w:type="character" w:styleId="a7">
    <w:name w:val="Emphasis"/>
    <w:basedOn w:val="a0"/>
    <w:uiPriority w:val="20"/>
    <w:qFormat/>
    <w:rsid w:val="00975245"/>
    <w:rPr>
      <w:i/>
      <w:iCs/>
    </w:rPr>
  </w:style>
  <w:style w:type="paragraph" w:styleId="a8">
    <w:name w:val="List Paragraph"/>
    <w:basedOn w:val="a"/>
    <w:uiPriority w:val="99"/>
    <w:unhideWhenUsed/>
    <w:rsid w:val="00AE49D6"/>
    <w:pPr>
      <w:ind w:firstLineChars="200" w:firstLine="420"/>
    </w:pPr>
  </w:style>
  <w:style w:type="paragraph" w:styleId="a9">
    <w:name w:val="Title"/>
    <w:basedOn w:val="a"/>
    <w:next w:val="a"/>
    <w:link w:val="Char2"/>
    <w:qFormat/>
    <w:rsid w:val="00B20C5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rsid w:val="00B20C5F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a">
    <w:name w:val="Document Map"/>
    <w:basedOn w:val="a"/>
    <w:link w:val="Char3"/>
    <w:rsid w:val="00B20C5F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a"/>
    <w:rsid w:val="00B20C5F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134</TotalTime>
  <Pages>2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2019-05-22T01:34:00Z</cp:lastPrinted>
  <dcterms:created xsi:type="dcterms:W3CDTF">2019-03-24T08:22:00Z</dcterms:created>
  <dcterms:modified xsi:type="dcterms:W3CDTF">2019-05-22T02:23:00Z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  <property fmtid="{D5CDD505-2E9C-101B-9397-08002B2CF9AE}" pid="3" name="KSORubyTemplateID" linkTarget="0">
    <vt:lpwstr>6</vt:lpwstr>
  </property>
</Properties>
</file>