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20" w:lineRule="exact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：</w:t>
      </w:r>
    </w:p>
    <w:p>
      <w:pPr>
        <w:spacing w:before="156" w:beforeLines="50" w:after="156" w:afterLines="50" w:line="520" w:lineRule="exact"/>
        <w:jc w:val="center"/>
        <w:rPr>
          <w:rFonts w:hint="eastAsia" w:ascii="仿宋" w:hAnsi="仿宋" w:eastAsia="仿宋" w:cs="仿宋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</w:rPr>
        <w:t>2023年度学校实验室安全专项检查工作要点</w:t>
      </w:r>
    </w:p>
    <w:bookmarkEnd w:id="0"/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990"/>
        <w:gridCol w:w="4922"/>
        <w:gridCol w:w="5597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188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49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检查方式</w:t>
            </w:r>
          </w:p>
        </w:tc>
        <w:tc>
          <w:tcPr>
            <w:tcW w:w="1736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检查依据</w:t>
            </w:r>
            <w:r>
              <w:rPr>
                <w:rFonts w:ascii="仿宋" w:hAnsi="仿宋" w:eastAsia="仿宋" w:cs="Times New Roman"/>
                <w:b/>
                <w:kern w:val="0"/>
                <w:sz w:val="28"/>
                <w:szCs w:val="28"/>
                <w:vertAlign w:val="superscript"/>
              </w:rPr>
              <w:t>[</w:t>
            </w: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  <w:vertAlign w:val="superscript"/>
              </w:rPr>
              <w:t>注</w:t>
            </w:r>
            <w:r>
              <w:rPr>
                <w:rFonts w:ascii="仿宋" w:hAnsi="仿宋" w:eastAsia="仿宋" w:cs="Times New Roman"/>
                <w:b/>
                <w:kern w:val="0"/>
                <w:sz w:val="28"/>
                <w:szCs w:val="28"/>
                <w:vertAlign w:val="superscript"/>
              </w:rPr>
              <w:t>]</w:t>
            </w:r>
          </w:p>
        </w:tc>
        <w:tc>
          <w:tcPr>
            <w:tcW w:w="1974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检查要点</w:t>
            </w:r>
          </w:p>
        </w:tc>
        <w:tc>
          <w:tcPr>
            <w:tcW w:w="752" w:type="pc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88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49" w:type="pct"/>
            <w:vMerge w:val="restar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</w:rPr>
              <w:t>实验室安全工作档案检查</w:t>
            </w: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eastAsia="仿宋" w:cs="Times New Roman"/>
                <w:spacing w:val="4"/>
                <w:kern w:val="0"/>
                <w:sz w:val="24"/>
                <w:szCs w:val="24"/>
              </w:rPr>
              <w:t>7</w:t>
            </w: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) 院系签订责任书到实验房间安全责任人。</w:t>
            </w:r>
          </w:p>
        </w:tc>
        <w:tc>
          <w:tcPr>
            <w:tcW w:w="1974" w:type="pct"/>
            <w:vAlign w:val="center"/>
          </w:tcPr>
          <w:p>
            <w:pPr>
              <w:pStyle w:val="5"/>
              <w:spacing w:line="340" w:lineRule="exact"/>
              <w:ind w:firstLine="0" w:firstLineChars="0"/>
              <w:jc w:val="left"/>
              <w:rPr>
                <w:rFonts w:ascii="仿宋" w:hAnsi="仿宋" w:eastAsia="仿宋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（1）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各级实验室安全管理责任书或承诺书100%签订；</w:t>
            </w:r>
          </w:p>
        </w:tc>
        <w:tc>
          <w:tcPr>
            <w:tcW w:w="752" w:type="pct"/>
          </w:tcPr>
          <w:p>
            <w:pPr>
              <w:jc w:val="left"/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学院提供用房基本信息清单（含责任人）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指标第（2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）（2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）（2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）目，有正式发文的实验室安全管理制度，依据危险源情况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（2）各项</w:t>
            </w: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规章制度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完善且是红头文件；</w:t>
            </w:r>
          </w:p>
        </w:tc>
        <w:tc>
          <w:tcPr>
            <w:tcW w:w="752" w:type="pct"/>
          </w:tcPr>
          <w:p>
            <w:pPr>
              <w:jc w:val="left"/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实验室安全管理制度，内容包括安全管理组织架构、责任体系、奖惩、事故处理、责任与追究、安全文化、应急预案和应急制度。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8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宋体"/>
                <w:spacing w:val="8"/>
                <w:kern w:val="0"/>
                <w:sz w:val="24"/>
                <w:szCs w:val="24"/>
              </w:rPr>
              <w:t>）各级主管实验室安全的负责人、管理人员及技术人员到岗一年内须接受实验室安全培训，有培训记录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 w:cs="宋体"/>
                <w:spacing w:val="8"/>
                <w:kern w:val="0"/>
                <w:sz w:val="24"/>
                <w:szCs w:val="24"/>
              </w:rPr>
              <w:t>证书、电子文档、书面记录</w:t>
            </w:r>
            <w:r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  <w:t xml:space="preserve">) </w:t>
            </w:r>
            <w:r>
              <w:rPr>
                <w:rFonts w:hint="eastAsia" w:ascii="仿宋" w:hAnsi="仿宋" w:eastAsia="仿宋" w:cs="宋体"/>
                <w:spacing w:val="8"/>
                <w:kern w:val="0"/>
                <w:sz w:val="24"/>
                <w:szCs w:val="24"/>
              </w:rPr>
              <w:t>等证明培训及合格情况。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（3）实验室安全工作领导小组、实验人员安全准入培训100%覆盖；</w:t>
            </w:r>
          </w:p>
        </w:tc>
        <w:tc>
          <w:tcPr>
            <w:tcW w:w="752" w:type="pct"/>
          </w:tcPr>
          <w:p>
            <w:pPr>
              <w:jc w:val="left"/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按安全工作领导小组成员和责任书人员核查。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宋体"/>
                <w:spacing w:val="8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eastAsia="仿宋" w:cs="Times New Roman"/>
                <w:spacing w:val="-1"/>
                <w:kern w:val="0"/>
                <w:sz w:val="24"/>
                <w:szCs w:val="24"/>
              </w:rPr>
              <w:t>35</w:t>
            </w:r>
            <w:r>
              <w:rPr>
                <w:rFonts w:ascii="仿宋" w:hAnsi="仿宋" w:eastAsia="仿宋" w:cs="仿宋"/>
                <w:spacing w:val="-1"/>
                <w:kern w:val="0"/>
                <w:sz w:val="24"/>
                <w:szCs w:val="24"/>
              </w:rPr>
              <w:t>) 开展实验前应进行安全风险分析， 并通过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审核。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（4）新开实验项目、研究生开题项目、毕业设计项目、科研项目涉及实验室重要危险源的有安全风险评估；</w:t>
            </w:r>
          </w:p>
        </w:tc>
        <w:tc>
          <w:tcPr>
            <w:tcW w:w="752" w:type="pct"/>
          </w:tcPr>
          <w:p>
            <w:pPr>
              <w:jc w:val="left"/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参考学校危险源管理办法相关工作要求，查看会议纪要及评估表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宋体"/>
                <w:spacing w:val="8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eastAsia="仿宋" w:cs="Times New Roman"/>
                <w:spacing w:val="4"/>
                <w:kern w:val="0"/>
                <w:sz w:val="24"/>
                <w:szCs w:val="24"/>
              </w:rPr>
              <w:t>23</w:t>
            </w:r>
            <w:r>
              <w:rPr>
                <w:rFonts w:ascii="仿宋" w:hAnsi="仿宋" w:eastAsia="仿宋" w:cs="仿宋"/>
                <w:spacing w:val="4"/>
                <w:kern w:val="0"/>
                <w:sz w:val="24"/>
                <w:szCs w:val="24"/>
              </w:rPr>
              <w:t>) 学校、二级单位和实</w:t>
            </w:r>
            <w:r>
              <w:rPr>
                <w:rFonts w:ascii="仿宋" w:hAnsi="仿宋" w:eastAsia="仿宋" w:cs="仿宋"/>
                <w:spacing w:val="3"/>
                <w:kern w:val="0"/>
                <w:sz w:val="24"/>
                <w:szCs w:val="24"/>
              </w:rPr>
              <w:t>验</w:t>
            </w:r>
            <w:r>
              <w:rPr>
                <w:rFonts w:ascii="仿宋" w:hAnsi="仿宋" w:eastAsia="仿宋" w:cs="仿宋"/>
                <w:spacing w:val="2"/>
                <w:kern w:val="0"/>
                <w:sz w:val="24"/>
                <w:szCs w:val="24"/>
              </w:rPr>
              <w:t>室应建立应急预案和应急演练制度，定期开展应急知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kern w:val="0"/>
                <w:sz w:val="24"/>
                <w:szCs w:val="24"/>
              </w:rPr>
              <w:t>识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学习、应急处置培训和应急演练，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（5）有重要危险源的实验室有风险评估资料，建立应急预案，有定期开展应急演练记录；</w:t>
            </w:r>
          </w:p>
        </w:tc>
        <w:tc>
          <w:tcPr>
            <w:tcW w:w="752" w:type="pct"/>
          </w:tcPr>
          <w:p>
            <w:pPr>
              <w:pStyle w:val="5"/>
              <w:spacing w:line="340" w:lineRule="exact"/>
              <w:ind w:firstLine="0" w:firstLineChars="0"/>
              <w:jc w:val="left"/>
              <w:rPr>
                <w:rFonts w:ascii="仿宋" w:hAnsi="仿宋" w:eastAsia="仿宋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宋体"/>
                <w:spacing w:val="8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eastAsia="仿宋" w:cs="Times New Roman"/>
                <w:spacing w:val="-4"/>
                <w:kern w:val="0"/>
                <w:sz w:val="24"/>
                <w:szCs w:val="24"/>
              </w:rPr>
              <w:t>40</w:t>
            </w:r>
            <w:r>
              <w:rPr>
                <w:rFonts w:ascii="仿宋" w:hAnsi="仿宋" w:eastAsia="仿宋" w:cs="仿宋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hint="eastAsia" w:ascii="仿宋" w:hAnsi="仿宋" w:eastAsia="仿宋" w:cs="宋体"/>
                <w:spacing w:val="-2"/>
                <w:kern w:val="0"/>
                <w:sz w:val="24"/>
                <w:szCs w:val="24"/>
              </w:rPr>
              <w:t>院系层面每月不少于</w:t>
            </w:r>
            <w:r>
              <w:rPr>
                <w:rFonts w:ascii="仿宋" w:hAnsi="仿宋" w:eastAsia="仿宋" w:cs="仿宋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pacing w:val="-2"/>
                <w:kern w:val="0"/>
                <w:sz w:val="24"/>
                <w:szCs w:val="24"/>
              </w:rPr>
              <w:t xml:space="preserve">1 </w:t>
            </w:r>
            <w:r>
              <w:rPr>
                <w:rFonts w:hint="eastAsia" w:ascii="仿宋" w:hAnsi="仿宋" w:eastAsia="仿宋" w:cs="宋体"/>
                <w:spacing w:val="-2"/>
                <w:kern w:val="0"/>
                <w:sz w:val="24"/>
                <w:szCs w:val="24"/>
              </w:rPr>
              <w:t>次，</w:t>
            </w:r>
            <w:r>
              <w:rPr>
                <w:rFonts w:ascii="仿宋" w:hAnsi="仿宋" w:eastAsia="仿宋" w:cs="仿宋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spacing w:val="-2"/>
                <w:kern w:val="0"/>
                <w:sz w:val="24"/>
                <w:szCs w:val="24"/>
              </w:rPr>
              <w:t>实验室应经常检查。安全检查及整改</w:t>
            </w:r>
            <w:r>
              <w:rPr>
                <w:rFonts w:hint="eastAsia" w:ascii="仿宋" w:hAnsi="仿宋" w:eastAsia="仿宋" w:cs="宋体"/>
                <w:spacing w:val="-1"/>
                <w:kern w:val="0"/>
                <w:sz w:val="24"/>
                <w:szCs w:val="24"/>
              </w:rPr>
              <w:t>都应保存记录。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（6）二级单位领导、中心主任、安全员检查记录实现闭环管理，次数符合学校相关规定。重要危险源实验室有专项检查记录。</w:t>
            </w:r>
          </w:p>
        </w:tc>
        <w:tc>
          <w:tcPr>
            <w:tcW w:w="752" w:type="pct"/>
          </w:tcPr>
          <w:p>
            <w:pPr>
              <w:pStyle w:val="5"/>
              <w:spacing w:line="340" w:lineRule="exact"/>
              <w:ind w:firstLine="0" w:firstLineChars="0"/>
              <w:jc w:val="left"/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kern w:val="0"/>
                <w:sz w:val="24"/>
                <w:szCs w:val="24"/>
              </w:rPr>
              <w:t>查看各级实验室负责人检查频次、用房全覆盖检查情况。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88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49" w:type="pct"/>
            <w:vMerge w:val="restar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现场</w:t>
            </w:r>
          </w:p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检查</w:t>
            </w: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(70) 危险性实验室应配备急救物品，配备的药箱不得上锁，并定期检查药品是否在保质期内。</w:t>
            </w:r>
          </w:p>
        </w:tc>
        <w:tc>
          <w:tcPr>
            <w:tcW w:w="1974" w:type="pc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（1）实验室急救药品和急救物资无过期现象；</w:t>
            </w:r>
          </w:p>
          <w:p>
            <w:pP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（2）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防护用品齐备，存放地点有明显标识；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(73) 灭火器种类配置正确，且在有效期内(压力指针位置正常等) ，保险销正常， 瓶身无破损、腐蚀。</w:t>
            </w:r>
          </w:p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(74)在显著位置张贴有紧急逃生疏散路线图，疏散路线图的逃生路线应有二条(含) 以上，路线与现场情况符合。</w:t>
            </w:r>
          </w:p>
        </w:tc>
        <w:tc>
          <w:tcPr>
            <w:tcW w:w="1974" w:type="pct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（3）实验室灭火器使用类型正确、公共部位张贴逃生疏散示意图，消防通道畅通；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（7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）存在燃烧、腐蚀等风险的实验区域，须配 置应急喷淋和洗眼装置，应急喷淋和洗眼装置的区域有显著标识。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（4）涉化实验区域有应急喷淋和洗眼装置，有每月巡检记录；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(125) 建立实验室危险化学品动态台账，并有危险化学品安全技术说明书(SDS) 或安全周知卡， 方便查阅。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（5）试剂柜有化学品清单、配备化学品安全技术说明书（MSDS）或安全周知卡，固定在便于查阅位置。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（1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46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）二三类易制毒化学品应设置专用存储区或者专柜储存并有防盗措施。</w:t>
            </w:r>
          </w:p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(149) 易制爆化学品存放场所出入口应设置防盗安全门，或存放在专用储存柜内，储存场所防盗安全级别应为乙级(含) 以上，专用储存柜应具有防盗功能，符合双人双锁管理要 求，台账账册保存期限不少于 1 年。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（6）管制类危化品符合存放规范要求，有闭环动态管理台账（化学试剂动态清单、领用记录、使用记录）。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逐一查对暂存库、暂存柜申报清单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参见（1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67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）~（1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74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）目危险废弃物检查要点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）化学废弃物分类收集并张贴标识，暂存合规，台账清晰；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（1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53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）从合格供应商处采购实验气体， 建立气体 (气瓶) 台账。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（8）气瓶严格验收，质量合格后方可接收，气瓶台账登记规范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有状态标识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，配备必要报警器；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查看供应商资质、气瓶台账记录。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参见（2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67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）~（2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83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）目检查要点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特种设备（灭菌锅等压力容器、叉车等）：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属于特种设备的，应有《特种设备使用登记证》、《特种设备作业人员证》，设备定期检验合格证张贴在显著位置，每月有一次日常维护和自行检查记录，安全操作规程上墙，张贴必要的安全警示标识。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查看反应釜操作规程和安全注意事项上墙，有厂家定期检查维护记录或报告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88" w:type="pct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pct"/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参见（2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94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）~（3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03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）目检查要点</w:t>
            </w:r>
          </w:p>
        </w:tc>
        <w:tc>
          <w:tcPr>
            <w:tcW w:w="1974" w:type="pct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（1</w:t>
            </w:r>
            <w:r>
              <w:rPr>
                <w:rFonts w:ascii="仿宋" w:hAnsi="仿宋" w:eastAsia="仿宋" w:cs="Times New Roman"/>
                <w:bCs/>
                <w:kern w:val="0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</w:rPr>
              <w:t>）高温设备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周围有高温警示标识，安全操作规程上墙，有使用记录；电吹风、电热枪用完后应拔掉电源，涉及化学品的实验室不使用明火电炉（确需使用，应有安全防范举措）。</w:t>
            </w:r>
          </w:p>
        </w:tc>
        <w:tc>
          <w:tcPr>
            <w:tcW w:w="752" w:type="pct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ind w:firstLine="480" w:firstLineChars="200"/>
        <w:rPr>
          <w:rFonts w:hint="eastAsia" w:ascii="仿宋_GB2312" w:hAnsi="Times New Roman" w:eastAsia="仿宋_GB2312"/>
          <w:sz w:val="24"/>
          <w:szCs w:val="32"/>
        </w:rPr>
      </w:pPr>
      <w:r>
        <w:rPr>
          <w:rFonts w:hint="eastAsia" w:ascii="仿宋_GB2312" w:hAnsi="Times New Roman" w:eastAsia="仿宋_GB2312"/>
          <w:sz w:val="24"/>
          <w:szCs w:val="32"/>
        </w:rPr>
        <w:t>注：检查依据节选自教育部下发《高等学校实验室安全检查项目表（2</w:t>
      </w:r>
      <w:r>
        <w:rPr>
          <w:rFonts w:ascii="仿宋_GB2312" w:hAnsi="Times New Roman" w:eastAsia="仿宋_GB2312"/>
          <w:sz w:val="24"/>
          <w:szCs w:val="32"/>
        </w:rPr>
        <w:t>023</w:t>
      </w:r>
      <w:r>
        <w:rPr>
          <w:rFonts w:hint="eastAsia" w:ascii="仿宋_GB2312" w:hAnsi="Times New Roman" w:eastAsia="仿宋_GB2312"/>
          <w:sz w:val="24"/>
          <w:szCs w:val="32"/>
        </w:rPr>
        <w:t>）》。</w:t>
      </w:r>
    </w:p>
    <w:p/>
    <w:sectPr>
      <w:pgSz w:w="16838" w:h="11906" w:orient="landscape"/>
      <w:pgMar w:top="1758" w:right="1440" w:bottom="158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NTBiNTg1MzkwZTgzMmYzMjA3MTE0OGZjYzkxNDQifQ=="/>
  </w:docVars>
  <w:rsids>
    <w:rsidRoot w:val="00000000"/>
    <w:rsid w:val="0B4F6F7A"/>
    <w:rsid w:val="32071E2C"/>
    <w:rsid w:val="34504DE0"/>
    <w:rsid w:val="429E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1640</Words>
  <Characters>1709</Characters>
  <Lines>0</Lines>
  <Paragraphs>0</Paragraphs>
  <TotalTime>0</TotalTime>
  <ScaleCrop>false</ScaleCrop>
  <LinksUpToDate>false</LinksUpToDate>
  <CharactersWithSpaces>1735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2023-04-17T08:13:00Z</dcterms:created>
  <dc:creator>admin</dc:creator>
  <cp:lastModifiedBy>宛尔</cp:lastModifiedBy>
  <dcterms:modified xsi:type="dcterms:W3CDTF">2023-04-17T08:40:06Z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D3E135D70F004B87991974887DCEBF1D_12</vt:lpwstr>
  </property>
</Properties>
</file>