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附件：实验室危险废弃物填报流程操作手册</w:t>
      </w:r>
    </w:p>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目录</w:t>
      </w:r>
    </w:p>
    <w:p>
      <w:pPr>
        <w:pStyle w:val="5"/>
        <w:tabs>
          <w:tab w:val="left" w:pos="840"/>
          <w:tab w:val="right" w:leader="dot" w:pos="8296"/>
        </w:tabs>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TOC \o "1-3" \h \z \u</w:instrText>
      </w:r>
      <w:r>
        <w:rPr>
          <w:rFonts w:ascii="仿宋" w:hAnsi="仿宋" w:eastAsia="仿宋"/>
          <w:sz w:val="28"/>
          <w:szCs w:val="28"/>
        </w:rPr>
        <w:instrText xml:space="preserve"> </w:instrText>
      </w:r>
      <w:r>
        <w:rPr>
          <w:rFonts w:ascii="仿宋" w:hAnsi="仿宋" w:eastAsia="仿宋"/>
          <w:sz w:val="28"/>
          <w:szCs w:val="28"/>
        </w:rPr>
        <w:fldChar w:fldCharType="separate"/>
      </w:r>
      <w:r>
        <w:fldChar w:fldCharType="begin"/>
      </w:r>
      <w:r>
        <w:instrText xml:space="preserve"> HYPERLINK \l "_Toc117170895" </w:instrText>
      </w:r>
      <w:r>
        <w:fldChar w:fldCharType="separate"/>
      </w:r>
      <w:r>
        <w:rPr>
          <w:rStyle w:val="8"/>
          <w:rFonts w:hint="eastAsia" w:ascii="仿宋" w:hAnsi="仿宋" w:eastAsia="仿宋"/>
          <w:sz w:val="28"/>
          <w:szCs w:val="28"/>
        </w:rPr>
        <w:t>一、</w:t>
      </w:r>
      <w:r>
        <w:rPr>
          <w:rFonts w:ascii="仿宋" w:hAnsi="仿宋" w:eastAsia="仿宋"/>
          <w:sz w:val="28"/>
          <w:szCs w:val="28"/>
        </w:rPr>
        <w:tab/>
      </w:r>
      <w:r>
        <w:rPr>
          <w:rStyle w:val="8"/>
          <w:rFonts w:hint="eastAsia" w:ascii="仿宋" w:hAnsi="仿宋" w:eastAsia="仿宋"/>
          <w:sz w:val="28"/>
          <w:szCs w:val="28"/>
        </w:rPr>
        <w:t>实验室用房负责人</w:t>
      </w:r>
      <w:r>
        <w:rPr>
          <w:rStyle w:val="8"/>
          <w:rFonts w:ascii="仿宋" w:hAnsi="仿宋" w:eastAsia="仿宋"/>
          <w:sz w:val="28"/>
          <w:szCs w:val="28"/>
        </w:rPr>
        <w:t>“</w:t>
      </w:r>
      <w:r>
        <w:rPr>
          <w:rStyle w:val="8"/>
          <w:rFonts w:hint="eastAsia" w:ascii="仿宋" w:hAnsi="仿宋" w:eastAsia="仿宋"/>
          <w:sz w:val="28"/>
          <w:szCs w:val="28"/>
        </w:rPr>
        <w:t>危险废物填报</w:t>
      </w:r>
      <w:r>
        <w:rPr>
          <w:rStyle w:val="8"/>
          <w:rFonts w:ascii="仿宋" w:hAnsi="仿宋" w:eastAsia="仿宋"/>
          <w:sz w:val="28"/>
          <w:szCs w:val="28"/>
        </w:rPr>
        <w:t>”</w:t>
      </w:r>
      <w:r>
        <w:rPr>
          <w:rStyle w:val="8"/>
          <w:rFonts w:hint="eastAsia" w:ascii="仿宋" w:hAnsi="仿宋" w:eastAsia="仿宋"/>
          <w:sz w:val="28"/>
          <w:szCs w:val="28"/>
        </w:rPr>
        <w:t>操作方法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_Toc117170895 \h </w:instrText>
      </w:r>
      <w:r>
        <w:rPr>
          <w:rFonts w:ascii="仿宋" w:hAnsi="仿宋" w:eastAsia="仿宋"/>
          <w:sz w:val="28"/>
          <w:szCs w:val="28"/>
        </w:rPr>
        <w:fldChar w:fldCharType="separate"/>
      </w:r>
      <w:r>
        <w:rPr>
          <w:rFonts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5"/>
        <w:tabs>
          <w:tab w:val="left" w:pos="840"/>
          <w:tab w:val="right" w:leader="dot" w:pos="8296"/>
        </w:tabs>
        <w:rPr>
          <w:rFonts w:ascii="仿宋" w:hAnsi="仿宋" w:eastAsia="仿宋"/>
          <w:sz w:val="28"/>
          <w:szCs w:val="28"/>
        </w:rPr>
      </w:pPr>
      <w:r>
        <w:fldChar w:fldCharType="begin"/>
      </w:r>
      <w:r>
        <w:instrText xml:space="preserve"> HYPERLINK \l "_Toc117170896" </w:instrText>
      </w:r>
      <w:r>
        <w:fldChar w:fldCharType="separate"/>
      </w:r>
      <w:r>
        <w:rPr>
          <w:rStyle w:val="8"/>
          <w:rFonts w:hint="eastAsia" w:ascii="仿宋" w:hAnsi="仿宋" w:eastAsia="仿宋"/>
          <w:sz w:val="28"/>
          <w:szCs w:val="28"/>
        </w:rPr>
        <w:t>二、</w:t>
      </w:r>
      <w:r>
        <w:rPr>
          <w:rFonts w:ascii="仿宋" w:hAnsi="仿宋" w:eastAsia="仿宋"/>
          <w:sz w:val="28"/>
          <w:szCs w:val="28"/>
        </w:rPr>
        <w:tab/>
      </w:r>
      <w:r>
        <w:rPr>
          <w:rStyle w:val="8"/>
          <w:rFonts w:hint="eastAsia" w:ascii="仿宋" w:hAnsi="仿宋" w:eastAsia="仿宋"/>
          <w:sz w:val="28"/>
          <w:szCs w:val="28"/>
        </w:rPr>
        <w:t>学院分管领导审核</w:t>
      </w:r>
      <w:r>
        <w:rPr>
          <w:rStyle w:val="8"/>
          <w:rFonts w:ascii="仿宋" w:hAnsi="仿宋" w:eastAsia="仿宋"/>
          <w:sz w:val="28"/>
          <w:szCs w:val="28"/>
        </w:rPr>
        <w:t>“</w:t>
      </w:r>
      <w:r>
        <w:rPr>
          <w:rStyle w:val="8"/>
          <w:rFonts w:hint="eastAsia" w:ascii="仿宋" w:hAnsi="仿宋" w:eastAsia="仿宋"/>
          <w:sz w:val="28"/>
          <w:szCs w:val="28"/>
        </w:rPr>
        <w:t>危废登记审核</w:t>
      </w:r>
      <w:r>
        <w:rPr>
          <w:rStyle w:val="8"/>
          <w:rFonts w:ascii="仿宋" w:hAnsi="仿宋" w:eastAsia="仿宋"/>
          <w:sz w:val="28"/>
          <w:szCs w:val="28"/>
        </w:rPr>
        <w:t>”</w:t>
      </w:r>
      <w:r>
        <w:rPr>
          <w:rStyle w:val="8"/>
          <w:rFonts w:hint="eastAsia" w:ascii="仿宋" w:hAnsi="仿宋" w:eastAsia="仿宋"/>
          <w:sz w:val="28"/>
          <w:szCs w:val="28"/>
        </w:rPr>
        <w:t>操作方法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_Toc117170896 \h </w:instrText>
      </w:r>
      <w:r>
        <w:rPr>
          <w:rFonts w:ascii="仿宋" w:hAnsi="仿宋" w:eastAsia="仿宋"/>
          <w:sz w:val="28"/>
          <w:szCs w:val="28"/>
        </w:rPr>
        <w:fldChar w:fldCharType="separate"/>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rPr>
          <w:rFonts w:hint="eastAsia" w:ascii="仿宋" w:hAnsi="仿宋" w:eastAsia="仿宋"/>
          <w:sz w:val="28"/>
          <w:szCs w:val="28"/>
        </w:rPr>
      </w:pPr>
      <w:r>
        <w:rPr>
          <w:rFonts w:ascii="仿宋" w:hAnsi="仿宋" w:eastAsia="仿宋"/>
          <w:sz w:val="28"/>
          <w:szCs w:val="28"/>
        </w:rPr>
        <w:fldChar w:fldCharType="end"/>
      </w:r>
      <w:r>
        <w:rPr>
          <w:rFonts w:ascii="仿宋" w:hAnsi="仿宋" w:eastAsia="仿宋"/>
          <w:sz w:val="28"/>
          <w:szCs w:val="28"/>
        </w:rPr>
        <w:br w:type="page"/>
      </w:r>
    </w:p>
    <w:p>
      <w:pPr>
        <w:pStyle w:val="11"/>
        <w:numPr>
          <w:numId w:val="0"/>
        </w:numPr>
        <w:ind w:leftChars="0"/>
        <w:jc w:val="center"/>
        <w:outlineLvl w:val="0"/>
        <w:rPr>
          <w:rFonts w:hint="default" w:ascii="仿宋" w:hAnsi="仿宋" w:eastAsia="仿宋"/>
          <w:sz w:val="28"/>
          <w:szCs w:val="28"/>
          <w:lang w:val="en-US" w:eastAsia="zh-CN"/>
        </w:rPr>
      </w:pPr>
      <w:r>
        <w:rPr>
          <w:rFonts w:hint="eastAsia" w:ascii="仿宋" w:hAnsi="仿宋" w:eastAsia="仿宋"/>
          <w:sz w:val="28"/>
          <w:szCs w:val="28"/>
          <w:lang w:val="en-US" w:eastAsia="zh-CN"/>
        </w:rPr>
        <w:t>流程图</w:t>
      </w:r>
    </w:p>
    <w:p>
      <w:pPr>
        <w:pStyle w:val="11"/>
        <w:numPr>
          <w:numId w:val="0"/>
        </w:numPr>
        <w:ind w:leftChars="0"/>
        <w:outlineLvl w:val="0"/>
        <w:rPr>
          <w:rFonts w:hint="default" w:ascii="仿宋" w:hAnsi="仿宋" w:eastAsia="仿宋"/>
          <w:sz w:val="28"/>
          <w:szCs w:val="28"/>
          <w:lang w:val="en-US" w:eastAsia="zh-CN"/>
        </w:rPr>
      </w:pPr>
      <w:r>
        <w:rPr>
          <w:rFonts w:hint="default" w:ascii="仿宋" w:hAnsi="仿宋" w:eastAsia="仿宋"/>
          <w:sz w:val="28"/>
          <w:szCs w:val="28"/>
          <w:lang w:val="en-US" w:eastAsia="zh-CN"/>
        </w:rPr>
        <w:drawing>
          <wp:inline distT="0" distB="0" distL="114300" distR="114300">
            <wp:extent cx="5267325" cy="4519930"/>
            <wp:effectExtent l="0" t="0" r="3175" b="1270"/>
            <wp:docPr id="8" name="图片 8" descr="危废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危废工作流程"/>
                    <pic:cNvPicPr>
                      <a:picLocks noChangeAspect="1"/>
                    </pic:cNvPicPr>
                  </pic:nvPicPr>
                  <pic:blipFill>
                    <a:blip r:embed="rId5"/>
                    <a:stretch>
                      <a:fillRect/>
                    </a:stretch>
                  </pic:blipFill>
                  <pic:spPr>
                    <a:xfrm>
                      <a:off x="0" y="0"/>
                      <a:ext cx="5267325" cy="4519930"/>
                    </a:xfrm>
                    <a:prstGeom prst="rect">
                      <a:avLst/>
                    </a:prstGeom>
                  </pic:spPr>
                </pic:pic>
              </a:graphicData>
            </a:graphic>
          </wp:inline>
        </w:drawing>
      </w:r>
    </w:p>
    <w:p>
      <w:pPr>
        <w:pStyle w:val="11"/>
        <w:numPr>
          <w:ilvl w:val="0"/>
          <w:numId w:val="1"/>
        </w:numPr>
        <w:ind w:firstLineChars="0"/>
        <w:outlineLvl w:val="0"/>
        <w:rPr>
          <w:rFonts w:ascii="仿宋" w:hAnsi="仿宋" w:eastAsia="仿宋"/>
          <w:sz w:val="28"/>
          <w:szCs w:val="28"/>
        </w:rPr>
      </w:pPr>
      <w:bookmarkStart w:id="0" w:name="_Toc117170895"/>
      <w:r>
        <w:rPr>
          <w:rFonts w:ascii="仿宋" w:hAnsi="仿宋" w:eastAsia="仿宋"/>
          <w:sz w:val="28"/>
          <w:szCs w:val="28"/>
        </w:rPr>
        <w:t>实验室用房负责人“危险废物填报”操作方法</w:t>
      </w:r>
      <w:bookmarkEnd w:id="0"/>
    </w:p>
    <w:p>
      <w:pPr>
        <w:rPr>
          <w:rFonts w:ascii="仿宋" w:hAnsi="仿宋" w:eastAsia="仿宋"/>
          <w:sz w:val="28"/>
          <w:szCs w:val="28"/>
        </w:rPr>
      </w:pPr>
      <w:r>
        <w:rPr>
          <w:rFonts w:hint="eastAsia" w:ascii="仿宋" w:hAnsi="仿宋" w:eastAsia="仿宋"/>
          <w:sz w:val="28"/>
          <w:szCs w:val="28"/>
        </w:rPr>
        <w:t>第一步，登录“实验室综合管理系统”打开“危废登记”功能</w:t>
      </w:r>
    </w:p>
    <w:p>
      <w:pPr>
        <w:rPr>
          <w:rFonts w:ascii="仿宋" w:hAnsi="仿宋" w:eastAsia="仿宋"/>
          <w:sz w:val="28"/>
          <w:szCs w:val="28"/>
        </w:rPr>
      </w:pPr>
      <w:r>
        <w:rPr>
          <w:rFonts w:ascii="仿宋" w:hAnsi="仿宋" w:eastAsia="仿宋"/>
          <w:sz w:val="28"/>
          <w:szCs w:val="28"/>
        </w:rPr>
        <w:drawing>
          <wp:inline distT="0" distB="0" distL="0" distR="0">
            <wp:extent cx="5274310" cy="2186305"/>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6"/>
                    <a:srcRect/>
                    <a:stretch>
                      <a:fillRect/>
                    </a:stretch>
                  </pic:blipFill>
                  <pic:spPr>
                    <a:xfrm>
                      <a:off x="0" y="0"/>
                      <a:ext cx="5274310" cy="2186803"/>
                    </a:xfrm>
                    <a:prstGeom prst="rect">
                      <a:avLst/>
                    </a:prstGeom>
                    <a:noFill/>
                    <a:ln w="9525">
                      <a:noFill/>
                      <a:miter lim="800000"/>
                      <a:headEnd/>
                      <a:tailEnd/>
                    </a:ln>
                  </pic:spPr>
                </pic:pic>
              </a:graphicData>
            </a:graphic>
          </wp:inline>
        </w:drawing>
      </w:r>
    </w:p>
    <w:p>
      <w:pPr>
        <w:rPr>
          <w:rFonts w:hint="default" w:ascii="仿宋" w:hAnsi="仿宋" w:eastAsia="仿宋"/>
          <w:sz w:val="28"/>
          <w:szCs w:val="28"/>
          <w:lang w:val="en-US" w:eastAsia="zh-CN"/>
        </w:rPr>
      </w:pPr>
      <w:r>
        <w:rPr>
          <w:rFonts w:hint="eastAsia" w:ascii="仿宋" w:hAnsi="仿宋" w:eastAsia="仿宋"/>
          <w:sz w:val="28"/>
          <w:szCs w:val="28"/>
          <w:lang w:val="en-US" w:eastAsia="zh-CN"/>
        </w:rPr>
        <w:t>第二步，确定产生学院、月份信息</w:t>
      </w:r>
    </w:p>
    <w:p>
      <w:pPr>
        <w:rPr>
          <w:rFonts w:ascii="仿宋" w:hAnsi="仿宋" w:eastAsia="仿宋"/>
          <w:sz w:val="28"/>
          <w:szCs w:val="28"/>
        </w:rPr>
      </w:pPr>
      <w:r>
        <w:rPr>
          <w:rFonts w:ascii="仿宋" w:hAnsi="仿宋" w:eastAsia="仿宋"/>
          <w:sz w:val="28"/>
          <w:szCs w:val="28"/>
        </w:rPr>
        <w:drawing>
          <wp:inline distT="0" distB="0" distL="0" distR="0">
            <wp:extent cx="5274310" cy="234061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srcRect/>
                    <a:stretch>
                      <a:fillRect/>
                    </a:stretch>
                  </pic:blipFill>
                  <pic:spPr>
                    <a:xfrm>
                      <a:off x="0" y="0"/>
                      <a:ext cx="5274310" cy="2340918"/>
                    </a:xfrm>
                    <a:prstGeom prst="rect">
                      <a:avLst/>
                    </a:prstGeom>
                    <a:noFill/>
                    <a:ln w="9525">
                      <a:noFill/>
                      <a:miter lim="800000"/>
                      <a:headEnd/>
                      <a:tailEnd/>
                    </a:ln>
                  </pic:spPr>
                </pic:pic>
              </a:graphicData>
            </a:graphic>
          </wp:inline>
        </w:drawing>
      </w:r>
    </w:p>
    <w:p>
      <w:pPr>
        <w:rPr>
          <w:rFonts w:hint="default" w:ascii="仿宋" w:hAnsi="仿宋" w:eastAsia="仿宋"/>
          <w:sz w:val="28"/>
          <w:szCs w:val="28"/>
          <w:lang w:val="en-US" w:eastAsia="zh-CN"/>
        </w:rPr>
      </w:pPr>
      <w:r>
        <w:rPr>
          <w:rFonts w:hint="eastAsia" w:ascii="仿宋" w:hAnsi="仿宋" w:eastAsia="仿宋"/>
          <w:sz w:val="28"/>
          <w:szCs w:val="28"/>
          <w:lang w:val="en-US" w:eastAsia="zh-CN"/>
        </w:rPr>
        <w:t>第三步，点击“新增危险废物入库情况”，添加数据。</w:t>
      </w:r>
    </w:p>
    <w:p>
      <w:pPr>
        <w:rPr>
          <w:rFonts w:ascii="仿宋" w:hAnsi="仿宋" w:eastAsia="仿宋"/>
          <w:sz w:val="28"/>
          <w:szCs w:val="28"/>
        </w:rPr>
      </w:pPr>
      <w:r>
        <w:rPr>
          <w:rFonts w:ascii="仿宋" w:hAnsi="仿宋" w:eastAsia="仿宋"/>
          <w:sz w:val="28"/>
          <w:szCs w:val="28"/>
        </w:rPr>
        <w:drawing>
          <wp:inline distT="0" distB="0" distL="0" distR="0">
            <wp:extent cx="5274310" cy="199199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cstate="print"/>
                    <a:srcRect/>
                    <a:stretch>
                      <a:fillRect/>
                    </a:stretch>
                  </pic:blipFill>
                  <pic:spPr>
                    <a:xfrm>
                      <a:off x="0" y="0"/>
                      <a:ext cx="5274310" cy="1992014"/>
                    </a:xfrm>
                    <a:prstGeom prst="rect">
                      <a:avLst/>
                    </a:prstGeom>
                    <a:noFill/>
                    <a:ln w="9525">
                      <a:noFill/>
                      <a:miter lim="800000"/>
                      <a:headEnd/>
                      <a:tailEnd/>
                    </a:ln>
                  </pic:spPr>
                </pic:pic>
              </a:graphicData>
            </a:graphic>
          </wp:inline>
        </w:drawing>
      </w:r>
    </w:p>
    <w:p>
      <w:pPr>
        <w:rPr>
          <w:rFonts w:hint="default" w:ascii="仿宋" w:hAnsi="仿宋" w:eastAsia="仿宋"/>
          <w:sz w:val="28"/>
          <w:szCs w:val="28"/>
          <w:lang w:val="en-US" w:eastAsia="zh-CN"/>
        </w:rPr>
      </w:pPr>
      <w:r>
        <w:rPr>
          <w:rFonts w:hint="eastAsia" w:ascii="仿宋" w:hAnsi="仿宋" w:eastAsia="仿宋"/>
          <w:sz w:val="28"/>
          <w:szCs w:val="28"/>
          <w:lang w:val="en-US" w:eastAsia="zh-CN"/>
        </w:rPr>
        <w:t>第四步，填写危废入库情况后，点击“保存”并提交审核。</w:t>
      </w:r>
    </w:p>
    <w:p>
      <w:pPr>
        <w:rPr>
          <w:rFonts w:ascii="仿宋" w:hAnsi="仿宋" w:eastAsia="仿宋"/>
          <w:color w:val="auto"/>
          <w:sz w:val="28"/>
          <w:szCs w:val="28"/>
        </w:rPr>
      </w:pPr>
      <w:r>
        <w:rPr>
          <w:rFonts w:hint="eastAsia" w:ascii="仿宋" w:hAnsi="仿宋" w:eastAsia="仿宋"/>
          <w:color w:val="auto"/>
          <w:sz w:val="28"/>
          <w:szCs w:val="28"/>
        </w:rPr>
        <w:t>说明：</w:t>
      </w:r>
    </w:p>
    <w:p>
      <w:pPr>
        <w:pStyle w:val="11"/>
        <w:numPr>
          <w:ilvl w:val="0"/>
          <w:numId w:val="2"/>
        </w:numPr>
        <w:ind w:firstLineChars="0"/>
        <w:rPr>
          <w:rFonts w:ascii="仿宋" w:hAnsi="仿宋" w:eastAsia="仿宋"/>
          <w:color w:val="auto"/>
          <w:sz w:val="28"/>
          <w:szCs w:val="28"/>
        </w:rPr>
      </w:pPr>
      <w:r>
        <w:rPr>
          <w:rFonts w:hint="eastAsia" w:ascii="仿宋" w:hAnsi="仿宋" w:eastAsia="仿宋"/>
          <w:color w:val="auto"/>
          <w:sz w:val="28"/>
          <w:szCs w:val="28"/>
        </w:rPr>
        <w:t>第一次填写点击保存按钮后系统会提示是否立即申请，点击立即申请系统会把登记信息提交至上级部门审核，未立即申请可以在数据列表勾选数据点击功能菜单</w:t>
      </w:r>
      <w:r>
        <w:rPr>
          <w:rFonts w:ascii="仿宋" w:hAnsi="仿宋" w:eastAsia="仿宋"/>
          <w:color w:val="auto"/>
          <w:sz w:val="28"/>
          <w:szCs w:val="28"/>
        </w:rPr>
        <w:t>“提交审核”按钮提交至上级部门审核！</w:t>
      </w:r>
    </w:p>
    <w:p>
      <w:pPr>
        <w:rPr>
          <w:rFonts w:ascii="仿宋" w:hAnsi="仿宋" w:eastAsia="仿宋"/>
          <w:color w:val="auto"/>
          <w:sz w:val="28"/>
          <w:szCs w:val="28"/>
        </w:rPr>
      </w:pPr>
      <w:r>
        <w:rPr>
          <w:rFonts w:ascii="仿宋" w:hAnsi="仿宋" w:eastAsia="仿宋"/>
          <w:color w:val="auto"/>
          <w:sz w:val="28"/>
          <w:szCs w:val="28"/>
        </w:rPr>
        <w:drawing>
          <wp:inline distT="0" distB="0" distL="0" distR="0">
            <wp:extent cx="5274310" cy="1208405"/>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cstate="print"/>
                    <a:srcRect/>
                    <a:stretch>
                      <a:fillRect/>
                    </a:stretch>
                  </pic:blipFill>
                  <pic:spPr>
                    <a:xfrm>
                      <a:off x="0" y="0"/>
                      <a:ext cx="5274310" cy="1208407"/>
                    </a:xfrm>
                    <a:prstGeom prst="rect">
                      <a:avLst/>
                    </a:prstGeom>
                    <a:noFill/>
                    <a:ln w="9525">
                      <a:noFill/>
                      <a:miter lim="800000"/>
                      <a:headEnd/>
                      <a:tailEnd/>
                    </a:ln>
                  </pic:spPr>
                </pic:pic>
              </a:graphicData>
            </a:graphic>
          </wp:inline>
        </w:drawing>
      </w:r>
    </w:p>
    <w:p>
      <w:pPr>
        <w:pStyle w:val="11"/>
        <w:numPr>
          <w:ilvl w:val="0"/>
          <w:numId w:val="2"/>
        </w:numPr>
        <w:ind w:firstLineChars="0"/>
        <w:rPr>
          <w:rFonts w:ascii="仿宋" w:hAnsi="仿宋" w:eastAsia="仿宋"/>
          <w:color w:val="auto"/>
          <w:sz w:val="28"/>
          <w:szCs w:val="28"/>
        </w:rPr>
      </w:pPr>
      <w:r>
        <w:rPr>
          <w:rFonts w:hint="eastAsia" w:ascii="仿宋" w:hAnsi="仿宋" w:eastAsia="仿宋"/>
          <w:color w:val="auto"/>
          <w:sz w:val="28"/>
          <w:szCs w:val="28"/>
        </w:rPr>
        <w:t>状态为“未申请”数据，可以点击操作字段编辑</w:t>
      </w:r>
    </w:p>
    <w:p>
      <w:pPr>
        <w:rPr>
          <w:rFonts w:hint="eastAsia" w:ascii="仿宋" w:hAnsi="仿宋" w:eastAsia="仿宋"/>
          <w:color w:val="auto"/>
          <w:sz w:val="28"/>
          <w:szCs w:val="28"/>
        </w:rPr>
      </w:pPr>
      <w:r>
        <w:rPr>
          <w:rFonts w:hint="eastAsia"/>
        </w:rPr>
        <w:drawing>
          <wp:inline distT="0" distB="0" distL="0" distR="0">
            <wp:extent cx="2374900" cy="654050"/>
            <wp:effectExtent l="19050" t="0" r="6350" b="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noChangeArrowheads="1"/>
                    </pic:cNvPicPr>
                  </pic:nvPicPr>
                  <pic:blipFill>
                    <a:blip r:embed="rId10"/>
                    <a:srcRect/>
                    <a:stretch>
                      <a:fillRect/>
                    </a:stretch>
                  </pic:blipFill>
                  <pic:spPr>
                    <a:xfrm>
                      <a:off x="0" y="0"/>
                      <a:ext cx="2374900" cy="654050"/>
                    </a:xfrm>
                    <a:prstGeom prst="rect">
                      <a:avLst/>
                    </a:prstGeom>
                    <a:noFill/>
                    <a:ln w="9525">
                      <a:noFill/>
                      <a:miter lim="800000"/>
                      <a:headEnd/>
                      <a:tailEnd/>
                    </a:ln>
                  </pic:spPr>
                </pic:pic>
              </a:graphicData>
            </a:graphic>
          </wp:inline>
        </w:drawing>
      </w:r>
      <w:r>
        <w:rPr>
          <w:rFonts w:hint="eastAsia" w:ascii="仿宋" w:hAnsi="仿宋" w:eastAsia="仿宋"/>
          <w:color w:val="auto"/>
          <w:sz w:val="28"/>
          <w:szCs w:val="28"/>
        </w:rPr>
        <w:t>修改信息！</w:t>
      </w:r>
    </w:p>
    <w:p>
      <w:pPr>
        <w:pStyle w:val="11"/>
        <w:numPr>
          <w:ilvl w:val="0"/>
          <w:numId w:val="2"/>
        </w:numPr>
        <w:ind w:firstLineChars="0"/>
        <w:rPr>
          <w:rFonts w:hint="eastAsia" w:ascii="仿宋" w:hAnsi="仿宋" w:eastAsia="仿宋"/>
          <w:color w:val="auto"/>
          <w:sz w:val="28"/>
          <w:szCs w:val="28"/>
        </w:rPr>
      </w:pPr>
      <w:r>
        <w:rPr>
          <w:rFonts w:hint="eastAsia" w:ascii="仿宋" w:hAnsi="仿宋" w:eastAsia="仿宋"/>
          <w:color w:val="auto"/>
          <w:sz w:val="28"/>
          <w:szCs w:val="28"/>
          <w:lang w:val="en-US" w:eastAsia="zh-CN"/>
        </w:rPr>
        <w:t>登记危险废弃物有异常需要学院分管院长审核后再经实验室建设与设备管理处审核。</w:t>
      </w:r>
      <w:bookmarkStart w:id="2" w:name="_GoBack"/>
      <w:bookmarkEnd w:id="2"/>
    </w:p>
    <w:p>
      <w:pPr>
        <w:pStyle w:val="11"/>
        <w:numPr>
          <w:ilvl w:val="0"/>
          <w:numId w:val="1"/>
        </w:numPr>
        <w:ind w:firstLineChars="0"/>
        <w:outlineLvl w:val="0"/>
        <w:rPr>
          <w:rFonts w:ascii="仿宋" w:hAnsi="仿宋" w:eastAsia="仿宋"/>
          <w:sz w:val="28"/>
          <w:szCs w:val="28"/>
        </w:rPr>
      </w:pPr>
      <w:bookmarkStart w:id="1" w:name="_Toc117170896"/>
      <w:r>
        <w:rPr>
          <w:rFonts w:ascii="仿宋" w:hAnsi="仿宋" w:eastAsia="仿宋"/>
          <w:sz w:val="28"/>
          <w:szCs w:val="28"/>
        </w:rPr>
        <w:t>学院分管领导审核“</w:t>
      </w:r>
      <w:r>
        <w:rPr>
          <w:rFonts w:hint="eastAsia" w:ascii="仿宋" w:hAnsi="仿宋" w:eastAsia="仿宋"/>
          <w:sz w:val="28"/>
          <w:szCs w:val="28"/>
        </w:rPr>
        <w:t>危废登记审核</w:t>
      </w:r>
      <w:r>
        <w:rPr>
          <w:rFonts w:ascii="仿宋" w:hAnsi="仿宋" w:eastAsia="仿宋"/>
          <w:sz w:val="28"/>
          <w:szCs w:val="28"/>
        </w:rPr>
        <w:t>”操作方法</w:t>
      </w:r>
      <w:bookmarkEnd w:id="1"/>
    </w:p>
    <w:p>
      <w:pPr>
        <w:rPr>
          <w:rFonts w:hint="eastAsia" w:ascii="仿宋" w:hAnsi="仿宋" w:eastAsia="仿宋"/>
          <w:sz w:val="28"/>
          <w:szCs w:val="28"/>
        </w:rPr>
      </w:pPr>
      <w:r>
        <w:rPr>
          <w:rFonts w:hint="eastAsia" w:ascii="仿宋" w:hAnsi="仿宋" w:eastAsia="仿宋"/>
          <w:sz w:val="28"/>
          <w:szCs w:val="28"/>
        </w:rPr>
        <w:t>第一步，登录“实验室综合管理系统”打开“危废登记审核”功能</w:t>
      </w:r>
    </w:p>
    <w:p>
      <w:pPr>
        <w:rPr>
          <w:rFonts w:hint="eastAsia" w:ascii="仿宋" w:hAnsi="仿宋" w:eastAsia="仿宋"/>
          <w:color w:val="FF0000"/>
          <w:sz w:val="28"/>
          <w:szCs w:val="28"/>
        </w:rPr>
      </w:pPr>
      <w:r>
        <w:rPr>
          <w:rFonts w:ascii="仿宋" w:hAnsi="仿宋" w:eastAsia="仿宋"/>
          <w:color w:val="FF0000"/>
          <w:sz w:val="28"/>
          <w:szCs w:val="28"/>
        </w:rPr>
        <w:drawing>
          <wp:inline distT="0" distB="0" distL="0" distR="0">
            <wp:extent cx="5274310" cy="255905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srcRect/>
                    <a:stretch>
                      <a:fillRect/>
                    </a:stretch>
                  </pic:blipFill>
                  <pic:spPr>
                    <a:xfrm>
                      <a:off x="0" y="0"/>
                      <a:ext cx="5274310" cy="2559526"/>
                    </a:xfrm>
                    <a:prstGeom prst="rect">
                      <a:avLst/>
                    </a:prstGeom>
                    <a:noFill/>
                    <a:ln w="9525">
                      <a:noFill/>
                      <a:miter lim="800000"/>
                      <a:headEnd/>
                      <a:tailEnd/>
                    </a:ln>
                  </pic:spPr>
                </pic:pic>
              </a:graphicData>
            </a:graphic>
          </wp:inline>
        </w:drawing>
      </w:r>
    </w:p>
    <w:p>
      <w:pPr>
        <w:rPr>
          <w:rFonts w:hint="eastAsia" w:ascii="仿宋" w:hAnsi="仿宋" w:eastAsia="仿宋"/>
          <w:sz w:val="28"/>
          <w:szCs w:val="28"/>
        </w:rPr>
      </w:pPr>
      <w:r>
        <w:rPr>
          <w:rFonts w:hint="eastAsia" w:ascii="仿宋" w:hAnsi="仿宋" w:eastAsia="仿宋"/>
          <w:sz w:val="28"/>
          <w:szCs w:val="28"/>
        </w:rPr>
        <w:t>或直接通过首页待办事宜打开功能</w:t>
      </w:r>
    </w:p>
    <w:p>
      <w:pPr>
        <w:rPr>
          <w:rFonts w:hint="eastAsia" w:ascii="仿宋" w:hAnsi="仿宋" w:eastAsia="仿宋"/>
          <w:color w:val="FF0000"/>
          <w:sz w:val="28"/>
          <w:szCs w:val="28"/>
        </w:rPr>
      </w:pPr>
      <w:r>
        <w:rPr>
          <w:rFonts w:ascii="仿宋" w:hAnsi="仿宋" w:eastAsia="仿宋"/>
          <w:color w:val="FF0000"/>
          <w:sz w:val="28"/>
          <w:szCs w:val="28"/>
        </w:rPr>
        <w:drawing>
          <wp:inline distT="0" distB="0" distL="0" distR="0">
            <wp:extent cx="5274310" cy="263017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srcRect/>
                    <a:stretch>
                      <a:fillRect/>
                    </a:stretch>
                  </pic:blipFill>
                  <pic:spPr>
                    <a:xfrm>
                      <a:off x="0" y="0"/>
                      <a:ext cx="5274310" cy="2630546"/>
                    </a:xfrm>
                    <a:prstGeom prst="rect">
                      <a:avLst/>
                    </a:prstGeom>
                    <a:noFill/>
                    <a:ln w="9525">
                      <a:noFill/>
                      <a:miter lim="800000"/>
                      <a:headEnd/>
                      <a:tailEnd/>
                    </a:ln>
                  </pic:spPr>
                </pic:pic>
              </a:graphicData>
            </a:graphic>
          </wp:inline>
        </w:drawing>
      </w:r>
    </w:p>
    <w:p>
      <w:pPr>
        <w:rPr>
          <w:rFonts w:ascii="仿宋" w:hAnsi="仿宋" w:eastAsia="仿宋"/>
          <w:color w:val="FF0000"/>
          <w:sz w:val="28"/>
          <w:szCs w:val="28"/>
        </w:rPr>
      </w:pPr>
      <w:r>
        <w:rPr>
          <w:rFonts w:ascii="仿宋" w:hAnsi="仿宋" w:eastAsia="仿宋"/>
          <w:color w:val="FF0000"/>
          <w:sz w:val="28"/>
          <w:szCs w:val="28"/>
        </w:rPr>
        <w:drawing>
          <wp:inline distT="0" distB="0" distL="0" distR="0">
            <wp:extent cx="5274310" cy="1619885"/>
            <wp:effectExtent l="19050" t="0" r="254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3" cstate="print"/>
                    <a:srcRect/>
                    <a:stretch>
                      <a:fillRect/>
                    </a:stretch>
                  </pic:blipFill>
                  <pic:spPr>
                    <a:xfrm>
                      <a:off x="0" y="0"/>
                      <a:ext cx="5274310" cy="1620150"/>
                    </a:xfrm>
                    <a:prstGeom prst="rect">
                      <a:avLst/>
                    </a:prstGeom>
                    <a:noFill/>
                    <a:ln w="9525">
                      <a:noFill/>
                      <a:miter lim="800000"/>
                      <a:headEnd/>
                      <a:tailEnd/>
                    </a:ln>
                  </pic:spPr>
                </pic:pic>
              </a:graphicData>
            </a:graphic>
          </wp:inline>
        </w:drawing>
      </w:r>
    </w:p>
    <w:p>
      <w:pPr>
        <w:rPr>
          <w:rFonts w:hint="default" w:ascii="仿宋" w:hAnsi="仿宋" w:eastAsia="仿宋"/>
          <w:b w:val="0"/>
          <w:bCs w:val="0"/>
          <w:color w:val="auto"/>
          <w:sz w:val="28"/>
          <w:szCs w:val="28"/>
          <w:lang w:val="en-US" w:eastAsia="zh-CN"/>
        </w:rPr>
      </w:pPr>
      <w:r>
        <w:rPr>
          <w:rFonts w:hint="eastAsia" w:ascii="仿宋" w:hAnsi="仿宋" w:eastAsia="仿宋"/>
          <w:b w:val="0"/>
          <w:bCs w:val="0"/>
          <w:color w:val="auto"/>
          <w:sz w:val="28"/>
          <w:szCs w:val="28"/>
          <w:lang w:val="en-US" w:eastAsia="zh-CN"/>
        </w:rPr>
        <w:t>第二步，选择审核结果，点击“下一步”</w:t>
      </w:r>
    </w:p>
    <w:p>
      <w:pPr>
        <w:rPr>
          <w:rFonts w:ascii="仿宋" w:hAnsi="仿宋" w:eastAsia="仿宋"/>
          <w:color w:val="FF0000"/>
          <w:sz w:val="28"/>
          <w:szCs w:val="28"/>
        </w:rPr>
      </w:pPr>
      <w:r>
        <w:rPr>
          <w:rFonts w:ascii="仿宋" w:hAnsi="仿宋" w:eastAsia="仿宋"/>
          <w:color w:val="FF0000"/>
          <w:sz w:val="28"/>
          <w:szCs w:val="28"/>
        </w:rPr>
        <w:drawing>
          <wp:inline distT="0" distB="0" distL="0" distR="0">
            <wp:extent cx="5274310" cy="2448560"/>
            <wp:effectExtent l="19050" t="0" r="2540"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14" cstate="print"/>
                    <a:srcRect/>
                    <a:stretch>
                      <a:fillRect/>
                    </a:stretch>
                  </pic:blipFill>
                  <pic:spPr>
                    <a:xfrm>
                      <a:off x="0" y="0"/>
                      <a:ext cx="5274310" cy="2448904"/>
                    </a:xfrm>
                    <a:prstGeom prst="rect">
                      <a:avLst/>
                    </a:prstGeom>
                    <a:noFill/>
                    <a:ln w="9525">
                      <a:noFill/>
                      <a:miter lim="800000"/>
                      <a:headEnd/>
                      <a:tailEnd/>
                    </a:ln>
                  </pic:spPr>
                </pic:pic>
              </a:graphicData>
            </a:graphic>
          </wp:inline>
        </w:drawing>
      </w:r>
    </w:p>
    <w:p>
      <w:pPr>
        <w:rPr>
          <w:rFonts w:ascii="仿宋" w:hAnsi="仿宋" w:eastAsia="仿宋"/>
          <w:color w:val="FF0000"/>
          <w:sz w:val="28"/>
          <w:szCs w:val="28"/>
        </w:rPr>
      </w:pPr>
    </w:p>
    <w:p>
      <w:pPr>
        <w:rPr>
          <w:rFonts w:ascii="仿宋" w:hAnsi="仿宋" w:eastAsia="仿宋"/>
          <w:color w:val="FF0000"/>
          <w:sz w:val="28"/>
          <w:szCs w:val="28"/>
        </w:rPr>
      </w:pPr>
    </w:p>
    <w:p>
      <w:pPr>
        <w:rPr>
          <w:rFonts w:ascii="仿宋" w:hAnsi="仿宋" w:eastAsia="仿宋"/>
          <w:color w:val="FF0000"/>
          <w:sz w:val="28"/>
          <w:szCs w:val="28"/>
        </w:rPr>
      </w:pPr>
    </w:p>
    <w:p>
      <w:pP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第三步，可输入审核意见，点击“保存”完成审核。</w:t>
      </w:r>
    </w:p>
    <w:p>
      <w:pPr>
        <w:rPr>
          <w:rFonts w:hint="eastAsia" w:ascii="仿宋" w:hAnsi="仿宋" w:eastAsia="仿宋"/>
          <w:color w:val="FF0000"/>
          <w:sz w:val="28"/>
          <w:szCs w:val="28"/>
        </w:rPr>
      </w:pPr>
      <w:r>
        <w:rPr>
          <w:rFonts w:ascii="仿宋" w:hAnsi="仿宋" w:eastAsia="仿宋"/>
          <w:color w:val="FF0000"/>
          <w:sz w:val="28"/>
          <w:szCs w:val="28"/>
        </w:rPr>
        <w:drawing>
          <wp:inline distT="0" distB="0" distL="0" distR="0">
            <wp:extent cx="5274310" cy="2287270"/>
            <wp:effectExtent l="19050" t="0" r="254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noChangeArrowheads="1"/>
                    </pic:cNvPicPr>
                  </pic:nvPicPr>
                  <pic:blipFill>
                    <a:blip r:embed="rId15" cstate="print"/>
                    <a:srcRect/>
                    <a:stretch>
                      <a:fillRect/>
                    </a:stretch>
                  </pic:blipFill>
                  <pic:spPr>
                    <a:xfrm>
                      <a:off x="0" y="0"/>
                      <a:ext cx="5274310" cy="2287378"/>
                    </a:xfrm>
                    <a:prstGeom prst="rect">
                      <a:avLst/>
                    </a:prstGeom>
                    <a:noFill/>
                    <a:ln w="9525">
                      <a:noFill/>
                      <a:miter lim="800000"/>
                      <a:headEnd/>
                      <a:tailEnd/>
                    </a:ln>
                  </pic:spPr>
                </pic:pic>
              </a:graphicData>
            </a:graphic>
          </wp:inline>
        </w:drawing>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07D78"/>
    <w:multiLevelType w:val="multilevel"/>
    <w:tmpl w:val="0B207D7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7C653E"/>
    <w:multiLevelType w:val="multilevel"/>
    <w:tmpl w:val="1D7C653E"/>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FhMDI4ZDBmNjYxYjdjMDE3MTQ1MjQ0MWMzN2VjNjIifQ=="/>
  </w:docVars>
  <w:rsids>
    <w:rsidRoot w:val="001540E0"/>
    <w:rsid w:val="00037E32"/>
    <w:rsid w:val="000A2C6C"/>
    <w:rsid w:val="000B7DA5"/>
    <w:rsid w:val="0010789F"/>
    <w:rsid w:val="001259DD"/>
    <w:rsid w:val="0012723C"/>
    <w:rsid w:val="001540E0"/>
    <w:rsid w:val="00195297"/>
    <w:rsid w:val="00197BE9"/>
    <w:rsid w:val="001B4553"/>
    <w:rsid w:val="001D2DC7"/>
    <w:rsid w:val="002125EB"/>
    <w:rsid w:val="00256B7F"/>
    <w:rsid w:val="0030791E"/>
    <w:rsid w:val="00370D1E"/>
    <w:rsid w:val="00431AD5"/>
    <w:rsid w:val="00450E95"/>
    <w:rsid w:val="00486587"/>
    <w:rsid w:val="00556446"/>
    <w:rsid w:val="00561079"/>
    <w:rsid w:val="00572C2A"/>
    <w:rsid w:val="0058014A"/>
    <w:rsid w:val="00580881"/>
    <w:rsid w:val="005B205D"/>
    <w:rsid w:val="00614D7E"/>
    <w:rsid w:val="0062226F"/>
    <w:rsid w:val="006E5EA0"/>
    <w:rsid w:val="007821FB"/>
    <w:rsid w:val="00786800"/>
    <w:rsid w:val="007B19C7"/>
    <w:rsid w:val="007C3D58"/>
    <w:rsid w:val="007D4110"/>
    <w:rsid w:val="007E44D7"/>
    <w:rsid w:val="00837716"/>
    <w:rsid w:val="00856304"/>
    <w:rsid w:val="00857ADA"/>
    <w:rsid w:val="008C4824"/>
    <w:rsid w:val="008E1918"/>
    <w:rsid w:val="00A46A33"/>
    <w:rsid w:val="00B041CD"/>
    <w:rsid w:val="00BA5D5F"/>
    <w:rsid w:val="00BB123B"/>
    <w:rsid w:val="00BB63E4"/>
    <w:rsid w:val="00D34208"/>
    <w:rsid w:val="00D4594A"/>
    <w:rsid w:val="00E41A6F"/>
    <w:rsid w:val="00E95EA6"/>
    <w:rsid w:val="00EC73C3"/>
    <w:rsid w:val="00F76A93"/>
    <w:rsid w:val="00FB42F1"/>
    <w:rsid w:val="00FD0B94"/>
    <w:rsid w:val="19834CD9"/>
    <w:rsid w:val="41FA3464"/>
    <w:rsid w:val="7380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C1CE1-5156-4B1B-A142-77BFDA3A142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404</Words>
  <Characters>404</Characters>
  <Lines>4</Lines>
  <Paragraphs>1</Paragraphs>
  <TotalTime>1</TotalTime>
  <ScaleCrop>false</ScaleCrop>
  <LinksUpToDate>false</LinksUpToDate>
  <CharactersWithSpaces>424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2022-04-15T00:23:00Z</dcterms:created>
  <dc:creator>Microsoft</dc:creator>
  <cp:lastModifiedBy>伍轩</cp:lastModifiedBy>
  <dcterms:modified xsi:type="dcterms:W3CDTF">2022-12-06T05:08:36Z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9D201E14284F47A499D07DC58C6D9124</vt:lpwstr>
  </property>
</Properties>
</file>